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Ind w:w="-3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5420"/>
        <w:gridCol w:w="2446"/>
      </w:tblGrid>
      <w:tr w:rsidR="00D24907" w14:paraId="6708F47B" w14:textId="77777777" w:rsidTr="2705CD99">
        <w:tc>
          <w:tcPr>
            <w:tcW w:w="1870" w:type="dxa"/>
            <w:hideMark/>
          </w:tcPr>
          <w:p w14:paraId="2CC06208" w14:textId="560644BA" w:rsidR="00D24907" w:rsidRDefault="00D24907">
            <w:pPr>
              <w:pStyle w:val="Zhlav"/>
              <w:tabs>
                <w:tab w:val="left" w:pos="2057"/>
              </w:tabs>
            </w:pPr>
            <w:r>
              <w:rPr>
                <w:noProof/>
              </w:rPr>
              <w:drawing>
                <wp:inline distT="0" distB="0" distL="0" distR="0" wp14:anchorId="3BC5C26B" wp14:editId="3BF7500C">
                  <wp:extent cx="893445" cy="893445"/>
                  <wp:effectExtent l="0" t="0" r="1905" b="1905"/>
                  <wp:docPr id="2" name="Obrázek 2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hideMark/>
          </w:tcPr>
          <w:p w14:paraId="6B7D9A9B" w14:textId="77777777" w:rsidR="00D24907" w:rsidRDefault="00D24907">
            <w:pPr>
              <w:pStyle w:val="Zhlav"/>
              <w:spacing w:line="68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4CA11402" w14:textId="77777777" w:rsidR="00D24907" w:rsidRDefault="00D24907">
            <w:pPr>
              <w:pStyle w:val="Zhlav"/>
              <w:spacing w:line="32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hideMark/>
          </w:tcPr>
          <w:p w14:paraId="5A89798D" w14:textId="448D7425" w:rsidR="00D24907" w:rsidRDefault="00D24907">
            <w:pPr>
              <w:pStyle w:val="Zhlav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</w:t>
            </w:r>
            <w:r w:rsidR="00827EEA">
              <w:rPr>
                <w:b/>
                <w:bCs/>
                <w:sz w:val="36"/>
                <w:szCs w:val="36"/>
              </w:rPr>
              <w:t> </w:t>
            </w:r>
            <w:r w:rsidR="0018268C">
              <w:rPr>
                <w:b/>
                <w:bCs/>
                <w:sz w:val="36"/>
                <w:szCs w:val="36"/>
              </w:rPr>
              <w:t>2</w:t>
            </w:r>
            <w:r w:rsidR="00827EEA">
              <w:rPr>
                <w:b/>
                <w:bCs/>
                <w:sz w:val="36"/>
                <w:szCs w:val="36"/>
              </w:rPr>
              <w:t xml:space="preserve">. </w:t>
            </w:r>
            <w:r>
              <w:rPr>
                <w:b/>
                <w:bCs/>
                <w:sz w:val="36"/>
                <w:szCs w:val="36"/>
              </w:rPr>
              <w:t>jednání</w:t>
            </w:r>
            <w:r w:rsidR="00827EEA">
              <w:rPr>
                <w:b/>
                <w:bCs/>
                <w:sz w:val="36"/>
                <w:szCs w:val="36"/>
              </w:rPr>
              <w:t xml:space="preserve"> komise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14:paraId="5D97FFDA" w14:textId="77777777" w:rsidR="00D24907" w:rsidRDefault="00D24907" w:rsidP="00D24907">
      <w:pPr>
        <w:pStyle w:val="Zhlav"/>
      </w:pPr>
    </w:p>
    <w:tbl>
      <w:tblPr>
        <w:tblW w:w="8968" w:type="dxa"/>
        <w:tblInd w:w="1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3511"/>
        <w:gridCol w:w="1163"/>
        <w:gridCol w:w="1062"/>
        <w:gridCol w:w="846"/>
        <w:gridCol w:w="1359"/>
      </w:tblGrid>
      <w:tr w:rsidR="00D24907" w14:paraId="68485E87" w14:textId="77777777" w:rsidTr="00D24907">
        <w:trPr>
          <w:cantSplit/>
          <w:trHeight w:hRule="exact" w:val="722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3F40FD" w14:textId="77777777" w:rsidR="00D24907" w:rsidRDefault="00D24907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ACE7E0" w14:textId="29662BC3" w:rsidR="00D24907" w:rsidRDefault="00827EEA" w:rsidP="00FE4BA5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Komisi Rady HMP pro podporu podnikání </w:t>
            </w:r>
          </w:p>
        </w:tc>
      </w:tr>
      <w:tr w:rsidR="00D24907" w14:paraId="4830348F" w14:textId="77777777" w:rsidTr="00FE4BA5">
        <w:trPr>
          <w:cantSplit/>
          <w:trHeight w:hRule="exact" w:val="875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5F5F4C" w14:textId="77777777" w:rsidR="00D24907" w:rsidRDefault="00D24907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Přítomni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D7F1BF" w14:textId="1233F3F4" w:rsidR="00D24907" w:rsidRPr="00827EEA" w:rsidRDefault="00635AF9">
            <w:pPr>
              <w:pStyle w:val="Zhlav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Ing. </w:t>
            </w:r>
            <w:r w:rsidR="00827EEA" w:rsidRPr="00827EEA">
              <w:rPr>
                <w:rFonts w:ascii="Calibri" w:hAnsi="Calibri" w:cs="Calibri"/>
                <w:b/>
                <w:sz w:val="22"/>
                <w:szCs w:val="22"/>
              </w:rPr>
              <w:t>Zdeněk Kovářík – předseda komise</w:t>
            </w:r>
          </w:p>
          <w:p w14:paraId="745DA92E" w14:textId="66C4275A" w:rsidR="00827EEA" w:rsidRPr="00827EEA" w:rsidRDefault="00827EEA">
            <w:pPr>
              <w:pStyle w:val="Zhlav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27EEA">
              <w:rPr>
                <w:rFonts w:ascii="Calibri" w:hAnsi="Calibri" w:cs="Calibri"/>
                <w:b/>
                <w:sz w:val="22"/>
                <w:szCs w:val="22"/>
              </w:rPr>
              <w:t>Karel Bauer, Dan</w:t>
            </w:r>
            <w:r w:rsidR="00F545D5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827EEA">
              <w:rPr>
                <w:rFonts w:ascii="Calibri" w:hAnsi="Calibri" w:cs="Calibri"/>
                <w:b/>
                <w:sz w:val="22"/>
                <w:szCs w:val="22"/>
              </w:rPr>
              <w:t xml:space="preserve"> Křivánková, </w:t>
            </w:r>
            <w:r w:rsidR="00635AF9">
              <w:rPr>
                <w:rFonts w:ascii="Calibri" w:hAnsi="Calibri" w:cs="Calibri"/>
                <w:b/>
                <w:sz w:val="22"/>
                <w:szCs w:val="22"/>
              </w:rPr>
              <w:t xml:space="preserve">JUDr. </w:t>
            </w:r>
            <w:r w:rsidRPr="00827EEA">
              <w:rPr>
                <w:rFonts w:ascii="Calibri" w:hAnsi="Calibri" w:cs="Calibri"/>
                <w:b/>
                <w:sz w:val="22"/>
                <w:szCs w:val="22"/>
              </w:rPr>
              <w:t>Petr Michal</w:t>
            </w:r>
            <w:r w:rsidR="00635AF9">
              <w:rPr>
                <w:rFonts w:ascii="Calibri" w:hAnsi="Calibri" w:cs="Calibri"/>
                <w:b/>
                <w:sz w:val="22"/>
                <w:szCs w:val="22"/>
              </w:rPr>
              <w:t>, Ph.D.</w:t>
            </w:r>
            <w:r w:rsidRPr="00827EEA">
              <w:rPr>
                <w:rFonts w:ascii="Calibri" w:hAnsi="Calibri" w:cs="Calibri"/>
                <w:b/>
                <w:sz w:val="22"/>
                <w:szCs w:val="22"/>
              </w:rPr>
              <w:t>, Lukáš</w:t>
            </w:r>
            <w:r w:rsidR="00EF4F8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27EEA">
              <w:rPr>
                <w:rFonts w:ascii="Calibri" w:hAnsi="Calibri" w:cs="Calibri"/>
                <w:b/>
                <w:sz w:val="22"/>
                <w:szCs w:val="22"/>
              </w:rPr>
              <w:t>Svěchota</w:t>
            </w:r>
            <w:proofErr w:type="spellEnd"/>
          </w:p>
        </w:tc>
      </w:tr>
      <w:tr w:rsidR="00827EEA" w14:paraId="58160AE2" w14:textId="77777777" w:rsidTr="00FE4BA5">
        <w:trPr>
          <w:cantSplit/>
          <w:trHeight w:hRule="exact" w:val="875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472E5" w14:textId="4DF198CF" w:rsidR="00827EEA" w:rsidRDefault="00827EEA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Nepřítomni 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8B71F" w14:textId="78CB7B47" w:rsidR="00827EEA" w:rsidRPr="0018268C" w:rsidRDefault="00827EEA">
            <w:pPr>
              <w:pStyle w:val="Zhlav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37789A">
              <w:rPr>
                <w:rFonts w:ascii="Calibri" w:hAnsi="Calibri" w:cs="Calibri"/>
                <w:b/>
                <w:sz w:val="22"/>
                <w:szCs w:val="22"/>
              </w:rPr>
              <w:t>Mgr. Mária Ševčíková</w:t>
            </w:r>
          </w:p>
        </w:tc>
      </w:tr>
      <w:tr w:rsidR="00827EEA" w14:paraId="3860487C" w14:textId="77777777" w:rsidTr="00FE4BA5">
        <w:trPr>
          <w:cantSplit/>
          <w:trHeight w:hRule="exact" w:val="875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AD373" w14:textId="4EB0FAAD" w:rsidR="00827EEA" w:rsidRDefault="00827EEA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Omluveni   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EBE1E" w14:textId="1C2FACDF" w:rsidR="00827EEA" w:rsidRPr="00827EEA" w:rsidRDefault="00635AF9">
            <w:pPr>
              <w:pStyle w:val="Zhlav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Ing. </w:t>
            </w:r>
            <w:r w:rsidR="00827EEA" w:rsidRPr="00827EEA">
              <w:rPr>
                <w:rFonts w:ascii="Calibri" w:hAnsi="Calibri" w:cs="Calibri"/>
                <w:b/>
                <w:sz w:val="22"/>
                <w:szCs w:val="22"/>
              </w:rPr>
              <w:t>Klára Kubešová</w:t>
            </w:r>
            <w:r w:rsidR="0018268C">
              <w:rPr>
                <w:rFonts w:ascii="Calibri" w:hAnsi="Calibri" w:cs="Calibri"/>
                <w:b/>
                <w:sz w:val="22"/>
                <w:szCs w:val="22"/>
              </w:rPr>
              <w:t>, Bc. Tomáš Lapáček, David Skála,</w:t>
            </w:r>
            <w:r w:rsidR="0037789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7789A" w:rsidRPr="0018268C">
              <w:rPr>
                <w:rFonts w:ascii="Calibri" w:hAnsi="Calibri" w:cs="Calibri"/>
                <w:b/>
                <w:sz w:val="22"/>
                <w:szCs w:val="22"/>
              </w:rPr>
              <w:t>PhDr. Lukáš Kaiser Zicha</w:t>
            </w:r>
          </w:p>
        </w:tc>
      </w:tr>
      <w:tr w:rsidR="0018268C" w14:paraId="689EC211" w14:textId="77777777" w:rsidTr="00FE4BA5">
        <w:trPr>
          <w:cantSplit/>
          <w:trHeight w:hRule="exact" w:val="875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231AB" w14:textId="67E21EF5" w:rsidR="0018268C" w:rsidRDefault="0018268C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Přizváni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87BB5" w14:textId="6499AE66" w:rsidR="0018268C" w:rsidRDefault="0018268C">
            <w:pPr>
              <w:pStyle w:val="Zhlav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Mgr. Adam Zábranský (RHMP), </w:t>
            </w:r>
            <w:r w:rsidR="00DF6E69">
              <w:rPr>
                <w:rFonts w:ascii="Calibri" w:hAnsi="Calibri" w:cs="Calibri"/>
                <w:b/>
                <w:sz w:val="22"/>
                <w:szCs w:val="22"/>
              </w:rPr>
              <w:t>Jan Jeřábek (SPVR)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24907" w14:paraId="22A0BBDE" w14:textId="77777777" w:rsidTr="00D24907">
        <w:trPr>
          <w:cantSplit/>
          <w:trHeight w:hRule="exact" w:val="1217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59A4B" w14:textId="77777777" w:rsidR="00D24907" w:rsidRDefault="00D24907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Věc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AD1F91" w14:textId="4B7B02F9" w:rsidR="00D24907" w:rsidRDefault="00827EEA" w:rsidP="00FE4BA5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Zápis z </w:t>
            </w:r>
            <w:r w:rsidR="0018268C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 jednání Komise pro podporu podnikání, které se konalo dne 1</w:t>
            </w:r>
            <w:r w:rsidR="0018268C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 1</w:t>
            </w:r>
            <w:r w:rsidR="0018268C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 2023 od 1</w:t>
            </w:r>
            <w:r w:rsidR="0018268C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hodin., Nová Radnice – 2. patro, salónek primátora č. 24</w:t>
            </w:r>
            <w:r w:rsidR="0018268C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  <w:tr w:rsidR="00D24907" w14:paraId="080B569D" w14:textId="77777777" w:rsidTr="00D24907">
        <w:trPr>
          <w:trHeight w:hRule="exact" w:val="361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54045A" w14:textId="77777777" w:rsidR="00D24907" w:rsidRDefault="00D24907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3795DC" w14:textId="6911C78D" w:rsidR="00D24907" w:rsidRDefault="00635AF9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 z. </w:t>
            </w:r>
            <w:r w:rsidR="00827EEA">
              <w:rPr>
                <w:rFonts w:ascii="Calibri" w:hAnsi="Calibri" w:cs="Calibri"/>
                <w:b/>
                <w:bCs/>
                <w:sz w:val="22"/>
                <w:szCs w:val="22"/>
              </w:rPr>
              <w:t>Blažena Pivovarová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7CF65C" w14:textId="77777777" w:rsidR="00D24907" w:rsidRDefault="00D24907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3EE4E" w14:textId="0DA0B20C" w:rsidR="00D24907" w:rsidRDefault="00F044E8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D9F9BC" w14:textId="77777777" w:rsidR="00D24907" w:rsidRDefault="00D24907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4E5B23" w14:textId="6C1081BB" w:rsidR="00D24907" w:rsidRDefault="00FE4BA5">
            <w:pPr>
              <w:pStyle w:val="Zhlav"/>
              <w:ind w:left="7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18268C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F276B2">
              <w:rPr>
                <w:rFonts w:ascii="Calibri" w:hAnsi="Calibri" w:cs="Calibri"/>
                <w:b/>
                <w:bCs/>
                <w:sz w:val="22"/>
                <w:szCs w:val="22"/>
              </w:rPr>
              <w:t>. 1</w:t>
            </w:r>
            <w:r w:rsidR="0018268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E62617">
              <w:rPr>
                <w:rFonts w:ascii="Calibri" w:hAnsi="Calibri" w:cs="Calibri"/>
                <w:b/>
                <w:bCs/>
                <w:sz w:val="22"/>
                <w:szCs w:val="22"/>
              </w:rPr>
              <w:t>. 202</w:t>
            </w:r>
            <w:r w:rsidR="00827EEA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</w:tbl>
    <w:p w14:paraId="3606731E" w14:textId="77777777" w:rsidR="00D24907" w:rsidRDefault="00D24907" w:rsidP="00D24907">
      <w:pPr>
        <w:pStyle w:val="Zhlav"/>
        <w:rPr>
          <w:rFonts w:ascii="Calibri" w:hAnsi="Calibri"/>
          <w:sz w:val="22"/>
          <w:szCs w:val="22"/>
        </w:rPr>
      </w:pPr>
    </w:p>
    <w:p w14:paraId="3EC2754A" w14:textId="49270815" w:rsidR="00827EEA" w:rsidRDefault="00827EEA" w:rsidP="00D24907">
      <w:pPr>
        <w:pStyle w:val="Zhlav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Předseda komise</w:t>
      </w:r>
      <w:r w:rsidR="006B5B9C">
        <w:rPr>
          <w:rFonts w:ascii="Calibri" w:hAnsi="Calibri"/>
          <w:bCs/>
          <w:sz w:val="22"/>
          <w:szCs w:val="22"/>
        </w:rPr>
        <w:t xml:space="preserve"> </w:t>
      </w:r>
      <w:r w:rsidR="006B5B9C" w:rsidRPr="006B5B9C">
        <w:rPr>
          <w:rFonts w:ascii="Calibri" w:hAnsi="Calibri"/>
          <w:b/>
          <w:sz w:val="22"/>
          <w:szCs w:val="22"/>
        </w:rPr>
        <w:t>Ing.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827EEA">
        <w:rPr>
          <w:rFonts w:ascii="Calibri" w:hAnsi="Calibri"/>
          <w:b/>
          <w:sz w:val="22"/>
          <w:szCs w:val="22"/>
        </w:rPr>
        <w:t>Zdeněk Kovářík</w:t>
      </w:r>
      <w:r>
        <w:rPr>
          <w:rFonts w:ascii="Calibri" w:hAnsi="Calibri"/>
          <w:bCs/>
          <w:sz w:val="22"/>
          <w:szCs w:val="22"/>
        </w:rPr>
        <w:t xml:space="preserve"> zahájil v</w:t>
      </w:r>
      <w:r w:rsidR="0018268C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> 1</w:t>
      </w:r>
      <w:r w:rsidR="0018268C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>:0</w:t>
      </w:r>
      <w:r w:rsidR="0018268C">
        <w:rPr>
          <w:rFonts w:ascii="Calibri" w:hAnsi="Calibri"/>
          <w:bCs/>
          <w:sz w:val="22"/>
          <w:szCs w:val="22"/>
        </w:rPr>
        <w:t>0</w:t>
      </w:r>
      <w:r>
        <w:rPr>
          <w:rFonts w:ascii="Calibri" w:hAnsi="Calibri"/>
          <w:bCs/>
          <w:sz w:val="22"/>
          <w:szCs w:val="22"/>
        </w:rPr>
        <w:t xml:space="preserve"> hodin jednání Komise Rady HMP pro podporu podnikání (dále jen „komise“). Komise byla v počtu </w:t>
      </w:r>
      <w:r w:rsidR="0018268C">
        <w:rPr>
          <w:rFonts w:ascii="Calibri" w:hAnsi="Calibri"/>
          <w:bCs/>
          <w:sz w:val="22"/>
          <w:szCs w:val="22"/>
        </w:rPr>
        <w:t>5</w:t>
      </w:r>
      <w:r>
        <w:rPr>
          <w:rFonts w:ascii="Calibri" w:hAnsi="Calibri"/>
          <w:bCs/>
          <w:sz w:val="22"/>
          <w:szCs w:val="22"/>
        </w:rPr>
        <w:t xml:space="preserve"> přítomných členů z 9.</w:t>
      </w:r>
    </w:p>
    <w:p w14:paraId="427E8A3D" w14:textId="77777777" w:rsidR="00827EEA" w:rsidRPr="00827EEA" w:rsidRDefault="00827EEA" w:rsidP="00D24907">
      <w:pPr>
        <w:pStyle w:val="Zhlav"/>
        <w:rPr>
          <w:rFonts w:ascii="Calibri" w:hAnsi="Calibri"/>
          <w:bCs/>
          <w:sz w:val="22"/>
          <w:szCs w:val="22"/>
        </w:rPr>
      </w:pPr>
    </w:p>
    <w:p w14:paraId="3E657851" w14:textId="7014F640" w:rsidR="00FE4BA5" w:rsidRDefault="00827EEA" w:rsidP="00D24907">
      <w:pPr>
        <w:pStyle w:val="Zhlav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Program jednání</w:t>
      </w:r>
      <w:r w:rsidR="00B43C5C" w:rsidRPr="00B43C5C">
        <w:rPr>
          <w:rFonts w:ascii="Calibri" w:hAnsi="Calibri"/>
          <w:b/>
          <w:sz w:val="22"/>
          <w:szCs w:val="22"/>
        </w:rPr>
        <w:t>:</w:t>
      </w:r>
    </w:p>
    <w:p w14:paraId="1591CC06" w14:textId="77777777" w:rsidR="0006569A" w:rsidRDefault="0006569A" w:rsidP="00D24907">
      <w:pPr>
        <w:pStyle w:val="Zhlav"/>
        <w:rPr>
          <w:rFonts w:ascii="Calibri" w:hAnsi="Calibri"/>
          <w:b/>
          <w:sz w:val="22"/>
          <w:szCs w:val="22"/>
        </w:rPr>
      </w:pPr>
    </w:p>
    <w:p w14:paraId="61C04104" w14:textId="578AAFE0" w:rsidR="00B15F0E" w:rsidRPr="00D83629" w:rsidRDefault="00D83629" w:rsidP="00D83629">
      <w:pPr>
        <w:pStyle w:val="Zhlav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</w:t>
      </w:r>
      <w:r w:rsidR="00B15F0E" w:rsidRPr="00D83629">
        <w:rPr>
          <w:rFonts w:ascii="Calibri" w:hAnsi="Calibri"/>
          <w:sz w:val="22"/>
          <w:szCs w:val="22"/>
        </w:rPr>
        <w:t>vodní slovo</w:t>
      </w:r>
    </w:p>
    <w:p w14:paraId="0AA5ABBB" w14:textId="65C32262" w:rsidR="00B15F0E" w:rsidRDefault="00DF6E69" w:rsidP="0006569A">
      <w:pPr>
        <w:pStyle w:val="Zhlav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Pravidla pro umisťování plakátovacích ploch na nemovitostech ve vlastnictví hl. m. Prahy</w:t>
      </w:r>
    </w:p>
    <w:p w14:paraId="3131923D" w14:textId="444A1D79" w:rsidR="003C4CA9" w:rsidRPr="003C4CA9" w:rsidRDefault="00B15F0E" w:rsidP="003C4CA9">
      <w:pPr>
        <w:pStyle w:val="Zhlav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Diskuse</w:t>
      </w:r>
    </w:p>
    <w:p w14:paraId="108E02C6" w14:textId="254DFF3E" w:rsidR="00D83629" w:rsidRDefault="00D83629" w:rsidP="00D83629">
      <w:pPr>
        <w:pStyle w:val="Zhlav"/>
        <w:rPr>
          <w:rFonts w:ascii="Calibri" w:hAnsi="Calibri"/>
          <w:sz w:val="22"/>
          <w:szCs w:val="22"/>
        </w:rPr>
      </w:pPr>
    </w:p>
    <w:p w14:paraId="3C45B202" w14:textId="05EE5097" w:rsidR="007372B9" w:rsidRDefault="007372B9" w:rsidP="00D83629">
      <w:pPr>
        <w:pStyle w:val="Zhlav"/>
        <w:rPr>
          <w:rFonts w:ascii="Calibri" w:hAnsi="Calibri"/>
          <w:b/>
          <w:bCs/>
          <w:sz w:val="22"/>
          <w:szCs w:val="22"/>
        </w:rPr>
      </w:pPr>
      <w:r w:rsidRPr="007372B9">
        <w:rPr>
          <w:rFonts w:ascii="Calibri" w:hAnsi="Calibri"/>
          <w:b/>
          <w:bCs/>
          <w:sz w:val="22"/>
          <w:szCs w:val="22"/>
        </w:rPr>
        <w:t xml:space="preserve">Zápis: </w:t>
      </w:r>
    </w:p>
    <w:p w14:paraId="229677AA" w14:textId="77777777" w:rsidR="007372B9" w:rsidRPr="007372B9" w:rsidRDefault="007372B9" w:rsidP="00D83629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1A54E848" w14:textId="1CD47682" w:rsidR="00D83629" w:rsidRDefault="00D83629" w:rsidP="00151E2A">
      <w:pPr>
        <w:pStyle w:val="Zhlav"/>
        <w:numPr>
          <w:ilvl w:val="0"/>
          <w:numId w:val="11"/>
        </w:numPr>
        <w:ind w:left="426"/>
        <w:rPr>
          <w:rFonts w:ascii="Calibri" w:hAnsi="Calibri"/>
          <w:b/>
          <w:bCs/>
          <w:sz w:val="22"/>
          <w:szCs w:val="22"/>
        </w:rPr>
      </w:pPr>
      <w:r w:rsidRPr="00D83629">
        <w:rPr>
          <w:rFonts w:ascii="Calibri" w:hAnsi="Calibri"/>
          <w:b/>
          <w:bCs/>
          <w:sz w:val="22"/>
          <w:szCs w:val="22"/>
        </w:rPr>
        <w:t xml:space="preserve">Úvodní slovo </w:t>
      </w:r>
    </w:p>
    <w:p w14:paraId="47479C7C" w14:textId="0F80A06B" w:rsidR="00D83629" w:rsidRDefault="00D83629" w:rsidP="00D83629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3E80F80B" w14:textId="5FEB3E80" w:rsidR="00A80776" w:rsidRDefault="00FC7C8D" w:rsidP="00A80776">
      <w:pPr>
        <w:pStyle w:val="Zhlav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 komise na úvod uvedl, ž</w:t>
      </w:r>
      <w:r w:rsidR="00A80776">
        <w:rPr>
          <w:rFonts w:ascii="Calibri" w:hAnsi="Calibri"/>
          <w:sz w:val="22"/>
          <w:szCs w:val="22"/>
        </w:rPr>
        <w:t>e materiál do R</w:t>
      </w:r>
      <w:r w:rsidR="00A20AC2">
        <w:rPr>
          <w:rFonts w:ascii="Calibri" w:hAnsi="Calibri"/>
          <w:sz w:val="22"/>
          <w:szCs w:val="22"/>
        </w:rPr>
        <w:t xml:space="preserve">ady hl. m. Prahy </w:t>
      </w:r>
      <w:r w:rsidR="00A80776">
        <w:rPr>
          <w:rFonts w:ascii="Calibri" w:hAnsi="Calibri"/>
          <w:sz w:val="22"/>
          <w:szCs w:val="22"/>
        </w:rPr>
        <w:t xml:space="preserve">A. Zábranského, který je předmětem jednání, všichni dostali v předstihu. Následně se dotázal A. Zábranského, zdali se materiál týká pouze Pražské památkové rezervace (dále jen „PPR“). A. Zábranský reagoval, že původní návrh se týkal pouze PPR a památkových zón (dále jen „PZ“), ale dává smysl to rozšířit na celou Prahu. Následně se shodli, </w:t>
      </w:r>
      <w:r w:rsidR="006A2F3D">
        <w:rPr>
          <w:rFonts w:ascii="Calibri" w:hAnsi="Calibri"/>
          <w:sz w:val="22"/>
          <w:szCs w:val="22"/>
        </w:rPr>
        <w:t xml:space="preserve">že přístup k PPR a PZ z hlediska reklamy je odlišný. </w:t>
      </w:r>
      <w:r w:rsidR="00A80776">
        <w:rPr>
          <w:rFonts w:ascii="Calibri" w:hAnsi="Calibri"/>
          <w:sz w:val="22"/>
          <w:szCs w:val="22"/>
        </w:rPr>
        <w:t xml:space="preserve"> </w:t>
      </w:r>
    </w:p>
    <w:p w14:paraId="692C699F" w14:textId="77777777" w:rsidR="00A80776" w:rsidRPr="00B7768B" w:rsidRDefault="00A80776" w:rsidP="00A80776">
      <w:pPr>
        <w:pStyle w:val="Zhlav"/>
        <w:jc w:val="both"/>
        <w:rPr>
          <w:rFonts w:ascii="Calibri" w:hAnsi="Calibri"/>
          <w:sz w:val="22"/>
          <w:szCs w:val="22"/>
        </w:rPr>
      </w:pPr>
    </w:p>
    <w:p w14:paraId="2FB37178" w14:textId="751D5C1B" w:rsidR="0026790A" w:rsidRPr="00A5144E" w:rsidRDefault="009E5EEC" w:rsidP="00A5144E">
      <w:pPr>
        <w:pStyle w:val="Zhlav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B7768B">
        <w:rPr>
          <w:rFonts w:ascii="Calibri" w:hAnsi="Calibri"/>
          <w:sz w:val="22"/>
          <w:szCs w:val="22"/>
        </w:rPr>
        <w:t xml:space="preserve"> </w:t>
      </w:r>
    </w:p>
    <w:p w14:paraId="7B47835D" w14:textId="58570972" w:rsidR="00B7768B" w:rsidRDefault="00A80776" w:rsidP="00151E2A">
      <w:pPr>
        <w:pStyle w:val="Zhlav"/>
        <w:numPr>
          <w:ilvl w:val="0"/>
          <w:numId w:val="11"/>
        </w:numPr>
        <w:ind w:left="426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Pravidla pro umisťování plakátovacích ploch na nemovitostech ve vlastnictví hl. m. Prahy</w:t>
      </w:r>
      <w:r w:rsidR="00F044E8">
        <w:rPr>
          <w:rFonts w:ascii="Calibri" w:hAnsi="Calibri"/>
          <w:b/>
          <w:bCs/>
          <w:sz w:val="22"/>
          <w:szCs w:val="22"/>
        </w:rPr>
        <w:t xml:space="preserve"> </w:t>
      </w:r>
    </w:p>
    <w:p w14:paraId="43AC33C3" w14:textId="77777777" w:rsidR="00B7768B" w:rsidRDefault="00B7768B" w:rsidP="0026790A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3F7F31C5" w14:textId="1D5E8981" w:rsidR="006A2F3D" w:rsidRDefault="006A2F3D" w:rsidP="006A2F3D">
      <w:pPr>
        <w:pStyle w:val="Zhlav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Komise projednala jednotlivé body týkající se pravidel pro plakátovací sloupy</w:t>
      </w:r>
      <w:r w:rsidR="00D72831">
        <w:rPr>
          <w:rFonts w:ascii="Calibri" w:hAnsi="Calibri"/>
          <w:sz w:val="22"/>
          <w:szCs w:val="22"/>
        </w:rPr>
        <w:t xml:space="preserve"> </w:t>
      </w:r>
      <w:r w:rsidR="00C77E4E">
        <w:rPr>
          <w:rFonts w:ascii="Calibri" w:hAnsi="Calibri"/>
          <w:sz w:val="22"/>
          <w:szCs w:val="22"/>
        </w:rPr>
        <w:t>v rámci PPR</w:t>
      </w:r>
      <w:r>
        <w:rPr>
          <w:rFonts w:ascii="Calibri" w:hAnsi="Calibri"/>
          <w:sz w:val="22"/>
          <w:szCs w:val="22"/>
        </w:rPr>
        <w:t>:</w:t>
      </w:r>
    </w:p>
    <w:p w14:paraId="46CE9C01" w14:textId="3E761BB5" w:rsidR="006A2F3D" w:rsidRPr="0072647F" w:rsidRDefault="006A2F3D" w:rsidP="00AE5707">
      <w:pPr>
        <w:pStyle w:val="Zhlav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Plakátovací sloup musí být povolen jako samostatně stojící stavba pro reklamu. </w:t>
      </w:r>
    </w:p>
    <w:p w14:paraId="2146D74C" w14:textId="77777777" w:rsidR="00C77E4E" w:rsidRPr="00C77E4E" w:rsidRDefault="00C77E4E" w:rsidP="00AE5707">
      <w:pPr>
        <w:pStyle w:val="Zhlav"/>
        <w:ind w:left="1080"/>
        <w:jc w:val="both"/>
        <w:rPr>
          <w:rFonts w:ascii="Calibri" w:hAnsi="Calibri"/>
          <w:sz w:val="22"/>
          <w:szCs w:val="22"/>
        </w:rPr>
      </w:pPr>
    </w:p>
    <w:p w14:paraId="0A626020" w14:textId="22524259" w:rsidR="00C77E4E" w:rsidRDefault="00C77E4E" w:rsidP="00AE5707">
      <w:pPr>
        <w:pStyle w:val="Zhlav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Minimální vzdálenost mezi jednotlivými plakátovacími sloupy je 150 m. </w:t>
      </w:r>
    </w:p>
    <w:p w14:paraId="61FC0F88" w14:textId="3961371A" w:rsidR="00C77E4E" w:rsidRDefault="00C77E4E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Předseda </w:t>
      </w:r>
      <w:r w:rsidR="0072647F">
        <w:rPr>
          <w:rFonts w:ascii="Calibri" w:hAnsi="Calibri"/>
          <w:sz w:val="22"/>
          <w:szCs w:val="22"/>
        </w:rPr>
        <w:t xml:space="preserve">komise </w:t>
      </w:r>
      <w:r>
        <w:rPr>
          <w:rFonts w:ascii="Calibri" w:hAnsi="Calibri"/>
          <w:sz w:val="22"/>
          <w:szCs w:val="22"/>
        </w:rPr>
        <w:t xml:space="preserve">konstatoval, že v PPR není 150 m </w:t>
      </w:r>
      <w:r w:rsidR="00053144">
        <w:rPr>
          <w:rFonts w:ascii="Calibri" w:hAnsi="Calibri"/>
          <w:sz w:val="22"/>
          <w:szCs w:val="22"/>
        </w:rPr>
        <w:t>nijak kontroverzní</w:t>
      </w:r>
      <w:r>
        <w:rPr>
          <w:rFonts w:ascii="Calibri" w:hAnsi="Calibri"/>
          <w:sz w:val="22"/>
          <w:szCs w:val="22"/>
        </w:rPr>
        <w:t>. A. Zábranský doplnil, že původní návrh byl 100 m, ale odbor památkové péče si vyžádal 150 m</w:t>
      </w:r>
      <w:r w:rsidR="003D440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</w:t>
      </w:r>
    </w:p>
    <w:p w14:paraId="78A0DDF3" w14:textId="77777777" w:rsidR="003304AD" w:rsidRDefault="003304AD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14:paraId="5555BE18" w14:textId="11C1C276" w:rsidR="00C77E4E" w:rsidRDefault="00C77E4E" w:rsidP="00AE5707">
      <w:pPr>
        <w:pStyle w:val="Zhlav"/>
        <w:numPr>
          <w:ilvl w:val="0"/>
          <w:numId w:val="14"/>
        </w:numPr>
        <w:tabs>
          <w:tab w:val="clear" w:pos="4536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Maximální šířka (průměr) reklamní plochy plakátovacího sloupu je stanovena na 1,07 m. </w:t>
      </w:r>
    </w:p>
    <w:p w14:paraId="0B131BE7" w14:textId="745438A0" w:rsidR="00D47383" w:rsidRDefault="003D4403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2647F">
        <w:rPr>
          <w:rFonts w:ascii="Calibri" w:hAnsi="Calibri"/>
          <w:sz w:val="22"/>
          <w:szCs w:val="22"/>
        </w:rPr>
        <w:t xml:space="preserve"> komise</w:t>
      </w:r>
      <w:r>
        <w:rPr>
          <w:rFonts w:ascii="Calibri" w:hAnsi="Calibri"/>
          <w:sz w:val="22"/>
          <w:szCs w:val="22"/>
        </w:rPr>
        <w:t xml:space="preserve"> se dotázal, jak se u sloupu určuje šířka. A. Zábranský reagoval, že jde o průměr v případě, že se jedná o sloup </w:t>
      </w:r>
      <w:r w:rsidR="00D47383">
        <w:rPr>
          <w:rFonts w:ascii="Calibri" w:hAnsi="Calibri"/>
          <w:sz w:val="22"/>
          <w:szCs w:val="22"/>
        </w:rPr>
        <w:t xml:space="preserve">kruhového tvaru </w:t>
      </w:r>
      <w:r>
        <w:rPr>
          <w:rFonts w:ascii="Calibri" w:hAnsi="Calibri"/>
          <w:sz w:val="22"/>
          <w:szCs w:val="22"/>
        </w:rPr>
        <w:t xml:space="preserve">a že </w:t>
      </w:r>
      <w:r w:rsidR="00D47383">
        <w:rPr>
          <w:rFonts w:ascii="Calibri" w:hAnsi="Calibri"/>
          <w:sz w:val="22"/>
          <w:szCs w:val="22"/>
        </w:rPr>
        <w:t xml:space="preserve">pokud </w:t>
      </w:r>
      <w:r>
        <w:rPr>
          <w:rFonts w:ascii="Calibri" w:hAnsi="Calibri"/>
          <w:sz w:val="22"/>
          <w:szCs w:val="22"/>
        </w:rPr>
        <w:t>přip</w:t>
      </w:r>
      <w:r w:rsidR="00D47383">
        <w:rPr>
          <w:rFonts w:ascii="Calibri" w:hAnsi="Calibri"/>
          <w:sz w:val="22"/>
          <w:szCs w:val="22"/>
        </w:rPr>
        <w:t>ustíme</w:t>
      </w:r>
      <w:r>
        <w:rPr>
          <w:rFonts w:ascii="Calibri" w:hAnsi="Calibri"/>
          <w:sz w:val="22"/>
          <w:szCs w:val="22"/>
        </w:rPr>
        <w:t xml:space="preserve"> i </w:t>
      </w:r>
      <w:r w:rsidR="00D47383">
        <w:rPr>
          <w:rFonts w:ascii="Calibri" w:hAnsi="Calibri"/>
          <w:sz w:val="22"/>
          <w:szCs w:val="22"/>
        </w:rPr>
        <w:t>hranatý</w:t>
      </w:r>
      <w:r>
        <w:rPr>
          <w:rFonts w:ascii="Calibri" w:hAnsi="Calibri"/>
          <w:sz w:val="22"/>
          <w:szCs w:val="22"/>
        </w:rPr>
        <w:t xml:space="preserve"> tvar sloupu</w:t>
      </w:r>
      <w:r w:rsidR="00D47383">
        <w:rPr>
          <w:rFonts w:ascii="Calibri" w:hAnsi="Calibri"/>
          <w:sz w:val="22"/>
          <w:szCs w:val="22"/>
        </w:rPr>
        <w:t>, pak hovoříme o šířce</w:t>
      </w:r>
      <w:r>
        <w:rPr>
          <w:rFonts w:ascii="Calibri" w:hAnsi="Calibri"/>
          <w:sz w:val="22"/>
          <w:szCs w:val="22"/>
        </w:rPr>
        <w:t>.</w:t>
      </w:r>
      <w:r w:rsidR="00D47383">
        <w:rPr>
          <w:rFonts w:ascii="Calibri" w:hAnsi="Calibri"/>
          <w:sz w:val="22"/>
          <w:szCs w:val="22"/>
        </w:rPr>
        <w:t xml:space="preserve"> Předseda</w:t>
      </w:r>
      <w:r w:rsidR="0072647F">
        <w:rPr>
          <w:rFonts w:ascii="Calibri" w:hAnsi="Calibri"/>
          <w:sz w:val="22"/>
          <w:szCs w:val="22"/>
        </w:rPr>
        <w:t xml:space="preserve"> komise</w:t>
      </w:r>
      <w:r w:rsidR="00D47383">
        <w:rPr>
          <w:rFonts w:ascii="Calibri" w:hAnsi="Calibri"/>
          <w:sz w:val="22"/>
          <w:szCs w:val="22"/>
        </w:rPr>
        <w:t xml:space="preserve"> </w:t>
      </w:r>
      <w:r w:rsidR="0072647F">
        <w:rPr>
          <w:rFonts w:ascii="Calibri" w:hAnsi="Calibri"/>
          <w:sz w:val="22"/>
          <w:szCs w:val="22"/>
        </w:rPr>
        <w:t>uvedl</w:t>
      </w:r>
      <w:r w:rsidR="00D47383">
        <w:rPr>
          <w:rFonts w:ascii="Calibri" w:hAnsi="Calibri"/>
          <w:sz w:val="22"/>
          <w:szCs w:val="22"/>
        </w:rPr>
        <w:t xml:space="preserve">, že předpokládal, že v PPR připouštíme pouze kruhové sloupy a pak by měl být uveden pouze průměr. </w:t>
      </w:r>
    </w:p>
    <w:p w14:paraId="514DF585" w14:textId="3D4494F4" w:rsidR="003D4403" w:rsidRDefault="003D4403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0DC62F43" w14:textId="65741DF0" w:rsidR="00C77E4E" w:rsidRDefault="00C77E4E" w:rsidP="00AE5707">
      <w:pPr>
        <w:pStyle w:val="Zhlav"/>
        <w:numPr>
          <w:ilvl w:val="0"/>
          <w:numId w:val="14"/>
        </w:numPr>
        <w:tabs>
          <w:tab w:val="clear" w:pos="4536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Maximální výška reklamní plochy plakátovacího sloupu je stanovena na 2,52 m.</w:t>
      </w:r>
    </w:p>
    <w:p w14:paraId="49E5C04C" w14:textId="3637A118" w:rsidR="00D47383" w:rsidRDefault="00D47383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2647F">
        <w:rPr>
          <w:rFonts w:ascii="Calibri" w:hAnsi="Calibri"/>
          <w:sz w:val="22"/>
          <w:szCs w:val="22"/>
        </w:rPr>
        <w:t xml:space="preserve"> komise</w:t>
      </w:r>
      <w:r>
        <w:rPr>
          <w:rFonts w:ascii="Calibri" w:hAnsi="Calibri"/>
          <w:sz w:val="22"/>
          <w:szCs w:val="22"/>
        </w:rPr>
        <w:t xml:space="preserve"> si vyžádal vysvětlení tohoto bodu. A. Zábranský reagoval, že je to stanovené na základě Pražských stavebních předpisů, ale zjist</w:t>
      </w:r>
      <w:r w:rsidR="0037789A">
        <w:rPr>
          <w:rFonts w:ascii="Calibri" w:hAnsi="Calibri"/>
          <w:sz w:val="22"/>
          <w:szCs w:val="22"/>
        </w:rPr>
        <w:t xml:space="preserve">í, jak tato hodnota byla stanovena. Dále konstatoval, že výška reklamní plochy musí být omezená, aby reklama nebyla příliš masivní. </w:t>
      </w:r>
    </w:p>
    <w:p w14:paraId="32AD78C0" w14:textId="61CE7EDD" w:rsidR="00D47383" w:rsidRDefault="00D47383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34ECE810" w14:textId="6C07AC51" w:rsidR="00C77E4E" w:rsidRDefault="00C77E4E" w:rsidP="00AE5707">
      <w:pPr>
        <w:pStyle w:val="Zhlav"/>
        <w:numPr>
          <w:ilvl w:val="0"/>
          <w:numId w:val="14"/>
        </w:numPr>
        <w:tabs>
          <w:tab w:val="clear" w:pos="4536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Plakátova</w:t>
      </w:r>
      <w:r w:rsidR="00811DFE">
        <w:rPr>
          <w:rFonts w:ascii="Calibri" w:hAnsi="Calibri"/>
          <w:sz w:val="22"/>
          <w:szCs w:val="22"/>
        </w:rPr>
        <w:t>cí sloupy je možné umístit pouze v místech rozšíření veřejného prostranství (ustoupené objekty od uliční čáry, rozšířená nároží).</w:t>
      </w:r>
    </w:p>
    <w:p w14:paraId="7D6AA04D" w14:textId="7E2F1F5F" w:rsidR="0037789A" w:rsidRDefault="0037789A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Předseda </w:t>
      </w:r>
      <w:r w:rsidR="0072647F">
        <w:rPr>
          <w:rFonts w:ascii="Calibri" w:hAnsi="Calibri"/>
          <w:sz w:val="22"/>
          <w:szCs w:val="22"/>
        </w:rPr>
        <w:t xml:space="preserve">komise </w:t>
      </w:r>
      <w:r>
        <w:rPr>
          <w:rFonts w:ascii="Calibri" w:hAnsi="Calibri"/>
          <w:sz w:val="22"/>
          <w:szCs w:val="22"/>
        </w:rPr>
        <w:t xml:space="preserve">konstatoval, že tento bod je použitelný pouze v PPR a obecně ztrácí smysl. </w:t>
      </w:r>
    </w:p>
    <w:p w14:paraId="29E01611" w14:textId="77777777" w:rsidR="0037789A" w:rsidRDefault="0037789A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14:paraId="17BF7424" w14:textId="14BB654B" w:rsidR="00811DFE" w:rsidRDefault="00811DFE" w:rsidP="00AE5707">
      <w:pPr>
        <w:pStyle w:val="Zhlav"/>
        <w:numPr>
          <w:ilvl w:val="0"/>
          <w:numId w:val="14"/>
        </w:numPr>
        <w:tabs>
          <w:tab w:val="clear" w:pos="4536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ulicích s variabilní šířkou lze umístit plakátovací sloupy pouze v místě, kde ulice nabývá maximální šíře. </w:t>
      </w:r>
    </w:p>
    <w:p w14:paraId="74299CEC" w14:textId="15FDD46E" w:rsidR="0037789A" w:rsidRDefault="0037789A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2647F">
        <w:rPr>
          <w:rFonts w:ascii="Calibri" w:hAnsi="Calibri"/>
          <w:sz w:val="22"/>
          <w:szCs w:val="22"/>
        </w:rPr>
        <w:t xml:space="preserve"> komise</w:t>
      </w:r>
      <w:r>
        <w:rPr>
          <w:rFonts w:ascii="Calibri" w:hAnsi="Calibri"/>
          <w:sz w:val="22"/>
          <w:szCs w:val="22"/>
        </w:rPr>
        <w:t xml:space="preserve"> uvedl, že tento bod není srozumitelný</w:t>
      </w:r>
      <w:r w:rsidR="0072647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 že byl měl být spíše definován minimální průchozí profil. </w:t>
      </w:r>
    </w:p>
    <w:p w14:paraId="61C15498" w14:textId="77777777" w:rsidR="0037789A" w:rsidRDefault="0037789A" w:rsidP="0037789A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14:paraId="2954BE90" w14:textId="74AA1B4E" w:rsidR="00811DFE" w:rsidRDefault="00811DFE" w:rsidP="00C77E4E">
      <w:pPr>
        <w:pStyle w:val="Zhlav"/>
        <w:numPr>
          <w:ilvl w:val="0"/>
          <w:numId w:val="14"/>
        </w:numPr>
        <w:tabs>
          <w:tab w:val="clear" w:pos="4536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Plakátovací sloup nesmí být umístěn v průchozím koridoru. </w:t>
      </w:r>
    </w:p>
    <w:p w14:paraId="3CE67EF0" w14:textId="0762E7B2" w:rsidR="00AE5707" w:rsidRDefault="00AE5707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Předseda </w:t>
      </w:r>
      <w:r w:rsidR="0072647F">
        <w:rPr>
          <w:rFonts w:ascii="Calibri" w:hAnsi="Calibri"/>
          <w:sz w:val="22"/>
          <w:szCs w:val="22"/>
        </w:rPr>
        <w:t xml:space="preserve">komise </w:t>
      </w:r>
      <w:r>
        <w:rPr>
          <w:rFonts w:ascii="Calibri" w:hAnsi="Calibri"/>
          <w:sz w:val="22"/>
          <w:szCs w:val="22"/>
        </w:rPr>
        <w:t>doporučil udělat z tohoto a předchozího bodu jeden bod.</w:t>
      </w:r>
    </w:p>
    <w:p w14:paraId="0C610BC6" w14:textId="77777777" w:rsidR="00AE5707" w:rsidRDefault="00AE5707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14:paraId="70862C0F" w14:textId="020D6B72" w:rsidR="00811DFE" w:rsidRDefault="00811DFE" w:rsidP="00C77E4E">
      <w:pPr>
        <w:pStyle w:val="Zhlav"/>
        <w:numPr>
          <w:ilvl w:val="0"/>
          <w:numId w:val="14"/>
        </w:numPr>
        <w:tabs>
          <w:tab w:val="clear" w:pos="4536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Plakátovací sloup nesmí být umístěn v rozhledových úhlech u křižovatek a přechodů pro chodce. </w:t>
      </w:r>
    </w:p>
    <w:p w14:paraId="57DFB6F3" w14:textId="0E8B4EDA" w:rsidR="00AE5707" w:rsidRDefault="00AE5707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Předseda </w:t>
      </w:r>
      <w:r w:rsidR="0072647F">
        <w:rPr>
          <w:rFonts w:ascii="Calibri" w:hAnsi="Calibri"/>
          <w:sz w:val="22"/>
          <w:szCs w:val="22"/>
        </w:rPr>
        <w:t xml:space="preserve">komise </w:t>
      </w:r>
      <w:r>
        <w:rPr>
          <w:rFonts w:ascii="Calibri" w:hAnsi="Calibri"/>
          <w:sz w:val="22"/>
          <w:szCs w:val="22"/>
        </w:rPr>
        <w:t>se vyjádřil, že tento bod není správně, jelikož toto definuje státní správa a Policie ČR. Tento bod je nadbytečný, jelikož t</w:t>
      </w:r>
      <w:r w:rsidR="0072647F">
        <w:rPr>
          <w:rFonts w:ascii="Calibri" w:hAnsi="Calibri"/>
          <w:sz w:val="22"/>
          <w:szCs w:val="22"/>
        </w:rPr>
        <w:t xml:space="preserve">ak </w:t>
      </w:r>
      <w:r>
        <w:rPr>
          <w:rFonts w:ascii="Calibri" w:hAnsi="Calibri"/>
          <w:sz w:val="22"/>
          <w:szCs w:val="22"/>
        </w:rPr>
        <w:t xml:space="preserve">musí být zajištěno v rámci povolení (viz bod č. 1). P. Michal doplnil, že chápe, že jde o interpretační pravidlo, nikoliv regulační.  </w:t>
      </w:r>
    </w:p>
    <w:p w14:paraId="1E11AFBF" w14:textId="77777777" w:rsidR="00AE5707" w:rsidRDefault="00AE5707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14:paraId="3F933EAC" w14:textId="3B83FC5C" w:rsidR="00811DFE" w:rsidRDefault="00811DFE" w:rsidP="00C77E4E">
      <w:pPr>
        <w:pStyle w:val="Zhlav"/>
        <w:numPr>
          <w:ilvl w:val="0"/>
          <w:numId w:val="14"/>
        </w:numPr>
        <w:tabs>
          <w:tab w:val="clear" w:pos="4536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Plakátovací sloup nesmí být umístěn v urbanistických pohledových osách. </w:t>
      </w:r>
    </w:p>
    <w:p w14:paraId="5E81C4BF" w14:textId="32760889" w:rsidR="000D1208" w:rsidRDefault="00AE5707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Předseda </w:t>
      </w:r>
      <w:r w:rsidR="0072647F">
        <w:rPr>
          <w:rFonts w:ascii="Calibri" w:hAnsi="Calibri"/>
          <w:sz w:val="22"/>
          <w:szCs w:val="22"/>
        </w:rPr>
        <w:t xml:space="preserve">komise </w:t>
      </w:r>
      <w:r>
        <w:rPr>
          <w:rFonts w:ascii="Calibri" w:hAnsi="Calibri"/>
          <w:sz w:val="22"/>
          <w:szCs w:val="22"/>
        </w:rPr>
        <w:t>uvedl, že tento bod je také problematický, jelikož smyslem reklamy je pohledová osa</w:t>
      </w:r>
      <w:r w:rsidR="000D1208">
        <w:rPr>
          <w:rFonts w:ascii="Calibri" w:hAnsi="Calibri"/>
          <w:sz w:val="22"/>
          <w:szCs w:val="22"/>
        </w:rPr>
        <w:t xml:space="preserve">, ale tímto bodem bylo pravděpodobně myšleno, že to nebude např. v ose pohledu na Pražský hrad apod. </w:t>
      </w:r>
    </w:p>
    <w:p w14:paraId="614E54BD" w14:textId="77777777" w:rsidR="000D1208" w:rsidRDefault="000D1208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14:paraId="5175327B" w14:textId="3365BE9D" w:rsidR="00AE5707" w:rsidRDefault="000D1208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K. Bauer doplnil, že pak vyvstane problém najít takové místo. Tímto budou vyloučena všechna místa, která dávají pro reklamu smysl. </w:t>
      </w:r>
    </w:p>
    <w:p w14:paraId="0C0FAA6F" w14:textId="500A0F7B" w:rsidR="000D1208" w:rsidRDefault="000D1208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14:paraId="7351D712" w14:textId="03966480" w:rsidR="004B4CE1" w:rsidRDefault="000D1208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P. Michal poznamenal, že se jedná o návrh samosprávné regulace, která má vést k souboru hodnotících kritérií, která pokud budou splněna, subjekt bude mít reálnou šanci na získání smlouvy. </w:t>
      </w:r>
      <w:r w:rsidR="004B4CE1">
        <w:rPr>
          <w:rFonts w:ascii="Calibri" w:hAnsi="Calibri"/>
          <w:sz w:val="22"/>
          <w:szCs w:val="22"/>
        </w:rPr>
        <w:t xml:space="preserve">Nároky </w:t>
      </w:r>
      <w:r>
        <w:rPr>
          <w:rFonts w:ascii="Calibri" w:hAnsi="Calibri"/>
          <w:sz w:val="22"/>
          <w:szCs w:val="22"/>
        </w:rPr>
        <w:t xml:space="preserve">tedy musí být jasně </w:t>
      </w:r>
      <w:r w:rsidR="004B4CE1">
        <w:rPr>
          <w:rFonts w:ascii="Calibri" w:hAnsi="Calibri"/>
          <w:sz w:val="22"/>
          <w:szCs w:val="22"/>
        </w:rPr>
        <w:t>předvídateln</w:t>
      </w:r>
      <w:r w:rsidR="00FF5B5D">
        <w:rPr>
          <w:rFonts w:ascii="Calibri" w:hAnsi="Calibri"/>
          <w:sz w:val="22"/>
          <w:szCs w:val="22"/>
        </w:rPr>
        <w:t>ě napsané</w:t>
      </w:r>
      <w:r w:rsidR="004B4CE1">
        <w:rPr>
          <w:rFonts w:ascii="Calibri" w:hAnsi="Calibri"/>
          <w:sz w:val="22"/>
          <w:szCs w:val="22"/>
        </w:rPr>
        <w:t xml:space="preserve">. </w:t>
      </w:r>
    </w:p>
    <w:p w14:paraId="232090F7" w14:textId="77777777" w:rsidR="004B4CE1" w:rsidRDefault="004B4CE1" w:rsidP="00AE5707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14:paraId="6DC2929A" w14:textId="7A07268A" w:rsidR="00434777" w:rsidRDefault="00434777" w:rsidP="00434777">
      <w:pPr>
        <w:pStyle w:val="Zhlav"/>
        <w:tabs>
          <w:tab w:val="clear" w:pos="4536"/>
        </w:tabs>
        <w:ind w:left="709"/>
        <w:jc w:val="both"/>
        <w:rPr>
          <w:rFonts w:ascii="Calibri" w:hAnsi="Calibri"/>
          <w:sz w:val="22"/>
          <w:szCs w:val="22"/>
        </w:rPr>
      </w:pPr>
      <w:r w:rsidRPr="00434777">
        <w:rPr>
          <w:rFonts w:ascii="Calibri" w:hAnsi="Calibri"/>
          <w:sz w:val="22"/>
          <w:szCs w:val="22"/>
        </w:rPr>
        <w:t>A.</w:t>
      </w:r>
      <w:r>
        <w:rPr>
          <w:rFonts w:ascii="Calibri" w:hAnsi="Calibri"/>
          <w:sz w:val="22"/>
          <w:szCs w:val="22"/>
        </w:rPr>
        <w:t xml:space="preserve"> </w:t>
      </w:r>
      <w:r w:rsidR="004B4CE1">
        <w:rPr>
          <w:rFonts w:ascii="Calibri" w:hAnsi="Calibri"/>
          <w:sz w:val="22"/>
          <w:szCs w:val="22"/>
        </w:rPr>
        <w:t xml:space="preserve">Zábranský doplnil, že pravidla budou klíčová pro toho, kdo bude vybírat umístění sloupů. </w:t>
      </w:r>
      <w:r w:rsidR="00431AD4">
        <w:rPr>
          <w:rFonts w:ascii="Calibri" w:hAnsi="Calibri"/>
          <w:sz w:val="22"/>
          <w:szCs w:val="22"/>
        </w:rPr>
        <w:t xml:space="preserve"> Předseda reagoval, že mechanismus života města nefunguje tak, že se rozhodne, kde budou umístěny sloupy, jedná se obchodní záležitost. </w:t>
      </w:r>
      <w:r>
        <w:rPr>
          <w:rFonts w:ascii="Calibri" w:hAnsi="Calibri"/>
          <w:sz w:val="22"/>
          <w:szCs w:val="22"/>
        </w:rPr>
        <w:t>Existují dva přístupy:</w:t>
      </w:r>
    </w:p>
    <w:p w14:paraId="6F0A4AD6" w14:textId="1FC1723B" w:rsidR="00434777" w:rsidRDefault="00B851BD" w:rsidP="00434777">
      <w:pPr>
        <w:pStyle w:val="Zhlav"/>
        <w:numPr>
          <w:ilvl w:val="0"/>
          <w:numId w:val="21"/>
        </w:numPr>
        <w:tabs>
          <w:tab w:val="clear" w:pos="4536"/>
        </w:tabs>
        <w:ind w:left="1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schválení</w:t>
      </w:r>
      <w:r w:rsidR="00434777">
        <w:rPr>
          <w:rFonts w:ascii="Calibri" w:hAnsi="Calibri"/>
          <w:sz w:val="22"/>
          <w:szCs w:val="22"/>
        </w:rPr>
        <w:t xml:space="preserve"> vybran</w:t>
      </w:r>
      <w:r>
        <w:rPr>
          <w:rFonts w:ascii="Calibri" w:hAnsi="Calibri"/>
          <w:sz w:val="22"/>
          <w:szCs w:val="22"/>
        </w:rPr>
        <w:t>ých</w:t>
      </w:r>
      <w:r w:rsidR="00434777">
        <w:rPr>
          <w:rFonts w:ascii="Calibri" w:hAnsi="Calibri"/>
          <w:sz w:val="22"/>
          <w:szCs w:val="22"/>
        </w:rPr>
        <w:t xml:space="preserve"> míst umístění sloupů</w:t>
      </w:r>
      <w:r w:rsidR="00F92123">
        <w:rPr>
          <w:rFonts w:ascii="Calibri" w:hAnsi="Calibri"/>
          <w:sz w:val="22"/>
          <w:szCs w:val="22"/>
        </w:rPr>
        <w:t xml:space="preserve"> vč. příslušných povolení</w:t>
      </w:r>
      <w:r w:rsidR="00434777">
        <w:rPr>
          <w:rFonts w:ascii="Calibri" w:hAnsi="Calibri"/>
          <w:sz w:val="22"/>
          <w:szCs w:val="22"/>
        </w:rPr>
        <w:t xml:space="preserve"> s předpokladem, že se trefí do trhu, ale nejsou pak potřeba pravidla, podle kterých se to stanoví</w:t>
      </w:r>
    </w:p>
    <w:p w14:paraId="185A238F" w14:textId="47A0B948" w:rsidR="00434777" w:rsidRDefault="00434777" w:rsidP="00434777">
      <w:pPr>
        <w:pStyle w:val="Zhlav"/>
        <w:numPr>
          <w:ilvl w:val="0"/>
          <w:numId w:val="21"/>
        </w:numPr>
        <w:tabs>
          <w:tab w:val="clear" w:pos="4536"/>
        </w:tabs>
        <w:ind w:left="1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pravidla, která dáme trhu a trh se bude trefovat do pravidel</w:t>
      </w:r>
    </w:p>
    <w:p w14:paraId="4446584E" w14:textId="77777777" w:rsidR="00434777" w:rsidRDefault="00434777" w:rsidP="00434777">
      <w:pPr>
        <w:pStyle w:val="Zhlav"/>
        <w:tabs>
          <w:tab w:val="clear" w:pos="4536"/>
        </w:tabs>
        <w:ind w:left="1276"/>
        <w:jc w:val="both"/>
        <w:rPr>
          <w:rFonts w:ascii="Calibri" w:hAnsi="Calibri"/>
          <w:sz w:val="22"/>
          <w:szCs w:val="22"/>
        </w:rPr>
      </w:pPr>
    </w:p>
    <w:p w14:paraId="7659E01D" w14:textId="3519CA5F" w:rsidR="00434777" w:rsidRDefault="00434777" w:rsidP="00F92123">
      <w:pPr>
        <w:pStyle w:val="Zhlav"/>
        <w:tabs>
          <w:tab w:val="clear" w:pos="4536"/>
        </w:tabs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Kombinace obou přístupů ale nelze.</w:t>
      </w:r>
      <w:r w:rsidR="00F92123">
        <w:rPr>
          <w:rFonts w:ascii="Calibri" w:hAnsi="Calibri"/>
          <w:sz w:val="22"/>
          <w:szCs w:val="22"/>
        </w:rPr>
        <w:t xml:space="preserve"> Je potřeba vybrat jednu z variant. </w:t>
      </w:r>
      <w:r>
        <w:rPr>
          <w:rFonts w:ascii="Calibri" w:hAnsi="Calibri"/>
          <w:sz w:val="22"/>
          <w:szCs w:val="22"/>
        </w:rPr>
        <w:t xml:space="preserve"> </w:t>
      </w:r>
    </w:p>
    <w:p w14:paraId="732CF5EA" w14:textId="77777777" w:rsidR="00434777" w:rsidRDefault="00434777" w:rsidP="00F92123">
      <w:pPr>
        <w:pStyle w:val="Zhlav"/>
        <w:tabs>
          <w:tab w:val="clear" w:pos="4536"/>
        </w:tabs>
        <w:ind w:left="709"/>
        <w:jc w:val="both"/>
        <w:rPr>
          <w:rFonts w:ascii="Calibri" w:hAnsi="Calibri"/>
          <w:sz w:val="22"/>
          <w:szCs w:val="22"/>
        </w:rPr>
      </w:pPr>
    </w:p>
    <w:p w14:paraId="0716118E" w14:textId="76FF6C58" w:rsidR="00F92123" w:rsidRDefault="00B851BD" w:rsidP="00F92123">
      <w:pPr>
        <w:pStyle w:val="Zhlav"/>
        <w:tabs>
          <w:tab w:val="clear" w:pos="4536"/>
        </w:tabs>
        <w:ind w:left="709"/>
        <w:jc w:val="both"/>
        <w:rPr>
          <w:rFonts w:ascii="Calibri" w:hAnsi="Calibri"/>
          <w:sz w:val="22"/>
          <w:szCs w:val="22"/>
        </w:rPr>
      </w:pPr>
      <w:r w:rsidRPr="00B851BD">
        <w:rPr>
          <w:rFonts w:ascii="Calibri" w:hAnsi="Calibri"/>
          <w:sz w:val="22"/>
          <w:szCs w:val="22"/>
        </w:rPr>
        <w:t>A.</w:t>
      </w:r>
      <w:r>
        <w:rPr>
          <w:rFonts w:ascii="Calibri" w:hAnsi="Calibri"/>
          <w:sz w:val="22"/>
          <w:szCs w:val="22"/>
        </w:rPr>
        <w:t xml:space="preserve"> </w:t>
      </w:r>
      <w:r w:rsidR="00434777">
        <w:rPr>
          <w:rFonts w:ascii="Calibri" w:hAnsi="Calibri"/>
          <w:sz w:val="22"/>
          <w:szCs w:val="22"/>
        </w:rPr>
        <w:t xml:space="preserve">Zábranský reagoval, že problém u druhého přístupu bude, že nebude prostor pro vysoutěžení nejlepší nabídky. </w:t>
      </w:r>
      <w:r>
        <w:rPr>
          <w:rFonts w:ascii="Calibri" w:hAnsi="Calibri"/>
          <w:sz w:val="22"/>
          <w:szCs w:val="22"/>
        </w:rPr>
        <w:t xml:space="preserve">Předseda </w:t>
      </w:r>
      <w:r w:rsidR="0072647F">
        <w:rPr>
          <w:rFonts w:ascii="Calibri" w:hAnsi="Calibri"/>
          <w:sz w:val="22"/>
          <w:szCs w:val="22"/>
        </w:rPr>
        <w:t xml:space="preserve">komise </w:t>
      </w:r>
      <w:r>
        <w:rPr>
          <w:rFonts w:ascii="Calibri" w:hAnsi="Calibri"/>
          <w:sz w:val="22"/>
          <w:szCs w:val="22"/>
        </w:rPr>
        <w:t>reagoval, že řešením je dostat od někoho, kdo to vyrobí, návrh, která místa to jsou a pak seznam nabídneme</w:t>
      </w:r>
      <w:r w:rsidR="00A20A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trhu a nejsou potřeba schvalovat žádná pravidla. A. Zábranský konstatoval, že výhoda druhého systému je, že trh ví, co je nejlepší, ale zásadní nevýhodou je výběr subjektů. </w:t>
      </w:r>
    </w:p>
    <w:p w14:paraId="09E052A1" w14:textId="77777777" w:rsidR="00F92123" w:rsidRDefault="00F92123" w:rsidP="00F92123">
      <w:pPr>
        <w:pStyle w:val="Zhlav"/>
        <w:tabs>
          <w:tab w:val="clear" w:pos="4536"/>
        </w:tabs>
        <w:ind w:left="709"/>
        <w:jc w:val="both"/>
        <w:rPr>
          <w:rFonts w:ascii="Calibri" w:hAnsi="Calibri"/>
          <w:sz w:val="22"/>
          <w:szCs w:val="22"/>
        </w:rPr>
      </w:pPr>
    </w:p>
    <w:p w14:paraId="664CD7C5" w14:textId="35910D41" w:rsidR="00F92123" w:rsidRDefault="00B851BD" w:rsidP="0072647F">
      <w:pPr>
        <w:pStyle w:val="Zhlav"/>
        <w:tabs>
          <w:tab w:val="clear" w:pos="4536"/>
        </w:tabs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P. Michal doplnil, že těmito pravidly se dostáváme na úroveň Pražských stavebních předpisů. </w:t>
      </w:r>
      <w:r w:rsidR="00F92123">
        <w:rPr>
          <w:rFonts w:ascii="Calibri" w:hAnsi="Calibri"/>
          <w:sz w:val="22"/>
          <w:szCs w:val="22"/>
        </w:rPr>
        <w:t xml:space="preserve"> Reklamní zařízení by měla mít předvídatelný charakter a měla by být dostupná, aby se zamezilo černému trhu. Cesta těchto pravidel je, že legálních ploch bude minimum nebo vůbec žádné.</w:t>
      </w:r>
      <w:r w:rsidR="0072647F">
        <w:rPr>
          <w:rFonts w:ascii="Calibri" w:hAnsi="Calibri"/>
          <w:sz w:val="22"/>
          <w:szCs w:val="22"/>
        </w:rPr>
        <w:t xml:space="preserve"> </w:t>
      </w:r>
      <w:r w:rsidR="00F92123">
        <w:rPr>
          <w:rFonts w:ascii="Calibri" w:hAnsi="Calibri"/>
          <w:sz w:val="22"/>
          <w:szCs w:val="22"/>
        </w:rPr>
        <w:t xml:space="preserve">P. Michal </w:t>
      </w:r>
      <w:r w:rsidR="00A20AC2">
        <w:rPr>
          <w:rFonts w:ascii="Calibri" w:hAnsi="Calibri"/>
          <w:sz w:val="22"/>
          <w:szCs w:val="22"/>
        </w:rPr>
        <w:t xml:space="preserve">dále </w:t>
      </w:r>
      <w:r w:rsidR="00910C9D">
        <w:rPr>
          <w:rFonts w:ascii="Calibri" w:hAnsi="Calibri"/>
          <w:sz w:val="22"/>
          <w:szCs w:val="22"/>
        </w:rPr>
        <w:t>vyjádřil názor</w:t>
      </w:r>
      <w:r w:rsidR="00F92123">
        <w:rPr>
          <w:rFonts w:ascii="Calibri" w:hAnsi="Calibri"/>
          <w:sz w:val="22"/>
          <w:szCs w:val="22"/>
        </w:rPr>
        <w:t>, že pokud se správně udělá koncese, může to vést k prudkému růstu zisk</w:t>
      </w:r>
      <w:r w:rsidR="00016F18">
        <w:rPr>
          <w:rFonts w:ascii="Calibri" w:hAnsi="Calibri"/>
          <w:sz w:val="22"/>
          <w:szCs w:val="22"/>
        </w:rPr>
        <w:t xml:space="preserve">ů </w:t>
      </w:r>
      <w:r w:rsidR="00F92123">
        <w:rPr>
          <w:rFonts w:ascii="Calibri" w:hAnsi="Calibri"/>
          <w:sz w:val="22"/>
          <w:szCs w:val="22"/>
        </w:rPr>
        <w:t xml:space="preserve">např. </w:t>
      </w:r>
      <w:r w:rsidR="00016F18">
        <w:rPr>
          <w:rFonts w:ascii="Calibri" w:hAnsi="Calibri"/>
          <w:sz w:val="22"/>
          <w:szCs w:val="22"/>
        </w:rPr>
        <w:t xml:space="preserve">jako </w:t>
      </w:r>
      <w:r w:rsidR="00F92123">
        <w:rPr>
          <w:rFonts w:ascii="Calibri" w:hAnsi="Calibri"/>
          <w:sz w:val="22"/>
          <w:szCs w:val="22"/>
        </w:rPr>
        <w:t>reklama u Dopravního podniku. Pokud se smlouvy vypoví a budou se připravovat nová pravidla</w:t>
      </w:r>
      <w:r w:rsidR="00910C9D">
        <w:rPr>
          <w:rFonts w:ascii="Calibri" w:hAnsi="Calibri"/>
          <w:sz w:val="22"/>
          <w:szCs w:val="22"/>
        </w:rPr>
        <w:t>,</w:t>
      </w:r>
      <w:r w:rsidR="00F92123">
        <w:rPr>
          <w:rFonts w:ascii="Calibri" w:hAnsi="Calibri"/>
          <w:sz w:val="22"/>
          <w:szCs w:val="22"/>
        </w:rPr>
        <w:t xml:space="preserve"> dojde k právnímu zmatku.</w:t>
      </w:r>
      <w:r w:rsidR="00910C9D">
        <w:rPr>
          <w:rFonts w:ascii="Calibri" w:hAnsi="Calibri"/>
          <w:sz w:val="22"/>
          <w:szCs w:val="22"/>
        </w:rPr>
        <w:t xml:space="preserve"> Pokud se připraví nabídka vč. nezbytných povolení a nabídne se to koncesnímu partnerovi, bude to fungovat věcně a zároveň to bude i ziskové. </w:t>
      </w:r>
      <w:r w:rsidR="00F92123">
        <w:rPr>
          <w:rFonts w:ascii="Calibri" w:hAnsi="Calibri"/>
          <w:sz w:val="22"/>
          <w:szCs w:val="22"/>
        </w:rPr>
        <w:t xml:space="preserve"> </w:t>
      </w:r>
      <w:r w:rsidR="00910C9D">
        <w:rPr>
          <w:rFonts w:ascii="Calibri" w:hAnsi="Calibri"/>
          <w:sz w:val="22"/>
          <w:szCs w:val="22"/>
        </w:rPr>
        <w:t>Předseda</w:t>
      </w:r>
      <w:r w:rsidR="0072647F">
        <w:rPr>
          <w:rFonts w:ascii="Calibri" w:hAnsi="Calibri"/>
          <w:sz w:val="22"/>
          <w:szCs w:val="22"/>
        </w:rPr>
        <w:t xml:space="preserve"> komise</w:t>
      </w:r>
      <w:r w:rsidR="00910C9D">
        <w:rPr>
          <w:rFonts w:ascii="Calibri" w:hAnsi="Calibri"/>
          <w:sz w:val="22"/>
          <w:szCs w:val="22"/>
        </w:rPr>
        <w:t xml:space="preserve"> doplnil, že </w:t>
      </w:r>
      <w:r w:rsidR="00ED0B5C">
        <w:rPr>
          <w:rFonts w:ascii="Calibri" w:hAnsi="Calibri"/>
          <w:sz w:val="22"/>
          <w:szCs w:val="22"/>
        </w:rPr>
        <w:t>toto řešení je rozumné</w:t>
      </w:r>
      <w:r w:rsidR="0072647F">
        <w:rPr>
          <w:rFonts w:ascii="Calibri" w:hAnsi="Calibri"/>
          <w:sz w:val="22"/>
          <w:szCs w:val="22"/>
        </w:rPr>
        <w:t>,</w:t>
      </w:r>
      <w:r w:rsidR="00ED0B5C">
        <w:rPr>
          <w:rFonts w:ascii="Calibri" w:hAnsi="Calibri"/>
          <w:sz w:val="22"/>
          <w:szCs w:val="22"/>
        </w:rPr>
        <w:t xml:space="preserve"> a že </w:t>
      </w:r>
      <w:r w:rsidR="00910C9D">
        <w:rPr>
          <w:rFonts w:ascii="Calibri" w:hAnsi="Calibri"/>
          <w:sz w:val="22"/>
          <w:szCs w:val="22"/>
        </w:rPr>
        <w:t xml:space="preserve">se koncese </w:t>
      </w:r>
      <w:r w:rsidR="00016F18">
        <w:rPr>
          <w:rFonts w:ascii="Calibri" w:hAnsi="Calibri"/>
          <w:sz w:val="22"/>
          <w:szCs w:val="22"/>
        </w:rPr>
        <w:t xml:space="preserve">již </w:t>
      </w:r>
      <w:r w:rsidR="00910C9D">
        <w:rPr>
          <w:rFonts w:ascii="Calibri" w:hAnsi="Calibri"/>
          <w:sz w:val="22"/>
          <w:szCs w:val="22"/>
        </w:rPr>
        <w:t xml:space="preserve">osvědčily. </w:t>
      </w:r>
    </w:p>
    <w:p w14:paraId="0842D0D5" w14:textId="167A61E0" w:rsidR="00434777" w:rsidRDefault="00B851BD" w:rsidP="00B851BD">
      <w:pPr>
        <w:pStyle w:val="Zhlav"/>
        <w:tabs>
          <w:tab w:val="clear" w:pos="453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434777">
        <w:rPr>
          <w:rFonts w:ascii="Calibri" w:hAnsi="Calibri"/>
          <w:sz w:val="22"/>
          <w:szCs w:val="22"/>
        </w:rPr>
        <w:t xml:space="preserve"> </w:t>
      </w:r>
    </w:p>
    <w:p w14:paraId="0C1C3472" w14:textId="1ACB6174" w:rsidR="002C2CAF" w:rsidRDefault="00DC6A10" w:rsidP="002C2CAF">
      <w:pPr>
        <w:pStyle w:val="Zhlav"/>
        <w:tabs>
          <w:tab w:val="clear" w:pos="4536"/>
        </w:tabs>
        <w:ind w:left="709"/>
        <w:jc w:val="both"/>
        <w:rPr>
          <w:rFonts w:ascii="Calibri" w:hAnsi="Calibri"/>
          <w:sz w:val="22"/>
          <w:szCs w:val="22"/>
        </w:rPr>
      </w:pPr>
      <w:r w:rsidRPr="00DC6A10">
        <w:rPr>
          <w:rFonts w:ascii="Calibri" w:hAnsi="Calibri"/>
          <w:sz w:val="22"/>
          <w:szCs w:val="22"/>
        </w:rPr>
        <w:t>A.</w:t>
      </w:r>
      <w:r>
        <w:rPr>
          <w:rFonts w:ascii="Calibri" w:hAnsi="Calibri"/>
          <w:sz w:val="22"/>
          <w:szCs w:val="22"/>
        </w:rPr>
        <w:t xml:space="preserve"> </w:t>
      </w:r>
      <w:r w:rsidR="00ED0B5C">
        <w:rPr>
          <w:rFonts w:ascii="Calibri" w:hAnsi="Calibri"/>
          <w:sz w:val="22"/>
          <w:szCs w:val="22"/>
        </w:rPr>
        <w:t>Zábranský vyzval Komisi, aby se vyjádřila také k pravidlům pro plakátovací panely. Předseda se dotázal, co je myšleno panely a zdali je to vůbec předmětem řešení v PPR.  A. Zábranský reagoval, že předmětem je především zlegalizovat černý výlep. P. Michal doplnil, že, vše, co je menší než 8 m</w:t>
      </w:r>
      <w:r w:rsidR="00ED0B5C" w:rsidRPr="00ED0B5C">
        <w:rPr>
          <w:rFonts w:ascii="Calibri" w:hAnsi="Calibri"/>
          <w:sz w:val="22"/>
          <w:szCs w:val="22"/>
          <w:vertAlign w:val="superscript"/>
        </w:rPr>
        <w:t>2</w:t>
      </w:r>
      <w:r w:rsidR="00ED0B5C">
        <w:rPr>
          <w:rFonts w:ascii="Calibri" w:hAnsi="Calibri"/>
          <w:sz w:val="22"/>
          <w:szCs w:val="22"/>
        </w:rPr>
        <w:t xml:space="preserve"> není reklamní zařízení, a tudíž se to nepovoluje</w:t>
      </w:r>
      <w:r w:rsidR="00C700B8">
        <w:rPr>
          <w:rFonts w:ascii="Calibri" w:hAnsi="Calibri"/>
          <w:sz w:val="22"/>
          <w:szCs w:val="22"/>
        </w:rPr>
        <w:t xml:space="preserve"> a Praha to nemůže zakázat pravidly</w:t>
      </w:r>
      <w:r w:rsidR="00ED0B5C">
        <w:rPr>
          <w:rFonts w:ascii="Calibri" w:hAnsi="Calibri"/>
          <w:sz w:val="22"/>
          <w:szCs w:val="22"/>
        </w:rPr>
        <w:t xml:space="preserve"> a stačí </w:t>
      </w:r>
      <w:r w:rsidR="00C700B8">
        <w:rPr>
          <w:rFonts w:ascii="Calibri" w:hAnsi="Calibri"/>
          <w:sz w:val="22"/>
          <w:szCs w:val="22"/>
        </w:rPr>
        <w:t xml:space="preserve">dohoda s vlastníkem. Předseda </w:t>
      </w:r>
      <w:r w:rsidR="0072647F">
        <w:rPr>
          <w:rFonts w:ascii="Calibri" w:hAnsi="Calibri"/>
          <w:sz w:val="22"/>
          <w:szCs w:val="22"/>
        </w:rPr>
        <w:t xml:space="preserve">komise </w:t>
      </w:r>
      <w:r w:rsidR="00C700B8">
        <w:rPr>
          <w:rFonts w:ascii="Calibri" w:hAnsi="Calibri"/>
          <w:sz w:val="22"/>
          <w:szCs w:val="22"/>
        </w:rPr>
        <w:t xml:space="preserve">upřesnil, že jde spíše o aktivní nabídku těchto ploch, ale tento typ ploch může nabídnout jakýkoliv vlastník. P. Michal doplnil, že Praha těchto ploch moc nemá. Předseda </w:t>
      </w:r>
      <w:r w:rsidR="0072647F">
        <w:rPr>
          <w:rFonts w:ascii="Calibri" w:hAnsi="Calibri"/>
          <w:sz w:val="22"/>
          <w:szCs w:val="22"/>
        </w:rPr>
        <w:t xml:space="preserve">komise </w:t>
      </w:r>
      <w:r w:rsidR="00C700B8">
        <w:rPr>
          <w:rFonts w:ascii="Calibri" w:hAnsi="Calibri"/>
          <w:sz w:val="22"/>
          <w:szCs w:val="22"/>
        </w:rPr>
        <w:t>uvedl, že v tomto případě není možná varianta pravidel. J. Jeřábek upřesnil, že</w:t>
      </w:r>
      <w:r>
        <w:rPr>
          <w:rFonts w:ascii="Calibri" w:hAnsi="Calibri"/>
          <w:sz w:val="22"/>
          <w:szCs w:val="22"/>
        </w:rPr>
        <w:t xml:space="preserve"> povolení</w:t>
      </w:r>
      <w:r w:rsidR="00C700B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 reklamní zařízení </w:t>
      </w:r>
      <w:r w:rsidR="00C700B8">
        <w:rPr>
          <w:rFonts w:ascii="Calibri" w:hAnsi="Calibri"/>
          <w:sz w:val="22"/>
          <w:szCs w:val="22"/>
        </w:rPr>
        <w:t>pod 8 m</w:t>
      </w:r>
      <w:r w:rsidRPr="00DC6A10">
        <w:rPr>
          <w:rFonts w:ascii="Calibri" w:hAnsi="Calibri"/>
          <w:sz w:val="22"/>
          <w:szCs w:val="22"/>
          <w:vertAlign w:val="superscript"/>
        </w:rPr>
        <w:t>2</w:t>
      </w:r>
      <w:r w:rsidR="00C700B8" w:rsidRPr="00DC6A10">
        <w:rPr>
          <w:rFonts w:ascii="Calibri" w:hAnsi="Calibri"/>
          <w:sz w:val="22"/>
          <w:szCs w:val="22"/>
          <w:vertAlign w:val="superscript"/>
        </w:rPr>
        <w:t xml:space="preserve"> </w:t>
      </w:r>
      <w:r>
        <w:rPr>
          <w:rFonts w:ascii="Calibri" w:hAnsi="Calibri"/>
          <w:sz w:val="22"/>
          <w:szCs w:val="22"/>
        </w:rPr>
        <w:t>je také potřeba, ale mechanismus je jiný</w:t>
      </w:r>
      <w:r w:rsidR="00C700B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A. Zábranský konstatoval, že se mu líbí varianta koncese a předseda</w:t>
      </w:r>
      <w:r w:rsidR="0072647F">
        <w:rPr>
          <w:rFonts w:ascii="Calibri" w:hAnsi="Calibri"/>
          <w:sz w:val="22"/>
          <w:szCs w:val="22"/>
        </w:rPr>
        <w:t xml:space="preserve"> komise</w:t>
      </w:r>
      <w:r>
        <w:rPr>
          <w:rFonts w:ascii="Calibri" w:hAnsi="Calibri"/>
          <w:sz w:val="22"/>
          <w:szCs w:val="22"/>
        </w:rPr>
        <w:t xml:space="preserve"> ho doplnil, že jde o ekonomický výhodnější variantu. Předseda </w:t>
      </w:r>
      <w:r w:rsidR="0072647F">
        <w:rPr>
          <w:rFonts w:ascii="Calibri" w:hAnsi="Calibri"/>
          <w:sz w:val="22"/>
          <w:szCs w:val="22"/>
        </w:rPr>
        <w:t xml:space="preserve">komise </w:t>
      </w:r>
      <w:r>
        <w:rPr>
          <w:rFonts w:ascii="Calibri" w:hAnsi="Calibri"/>
          <w:sz w:val="22"/>
          <w:szCs w:val="22"/>
        </w:rPr>
        <w:t>na dotaz A. Zábranského, jak ověřit fungování na trhu, konstatoval, že lze udělat vnitřní indikativní nabídku a dále jí probrat s relevantními hráči na trhu formou průzkumu trhu.</w:t>
      </w:r>
      <w:r w:rsidR="002C2CAF">
        <w:rPr>
          <w:rFonts w:ascii="Calibri" w:hAnsi="Calibri"/>
          <w:sz w:val="22"/>
          <w:szCs w:val="22"/>
        </w:rPr>
        <w:t xml:space="preserve"> </w:t>
      </w:r>
    </w:p>
    <w:p w14:paraId="731FBF21" w14:textId="77777777" w:rsidR="002C2CAF" w:rsidRDefault="002C2CAF" w:rsidP="002C2CAF">
      <w:pPr>
        <w:pStyle w:val="Zhlav"/>
        <w:tabs>
          <w:tab w:val="clear" w:pos="4536"/>
        </w:tabs>
        <w:ind w:left="709"/>
        <w:jc w:val="both"/>
        <w:rPr>
          <w:rFonts w:ascii="Calibri" w:hAnsi="Calibri"/>
          <w:sz w:val="22"/>
          <w:szCs w:val="22"/>
        </w:rPr>
      </w:pPr>
    </w:p>
    <w:p w14:paraId="7009891E" w14:textId="4F392369" w:rsidR="00ED0B5C" w:rsidRDefault="002C2CAF" w:rsidP="002C2CAF">
      <w:pPr>
        <w:pStyle w:val="Zhlav"/>
        <w:tabs>
          <w:tab w:val="clear" w:pos="4536"/>
        </w:tabs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Předseda </w:t>
      </w:r>
      <w:r w:rsidR="0072647F">
        <w:rPr>
          <w:rFonts w:ascii="Calibri" w:hAnsi="Calibri"/>
          <w:sz w:val="22"/>
          <w:szCs w:val="22"/>
        </w:rPr>
        <w:t xml:space="preserve">komise </w:t>
      </w:r>
      <w:r>
        <w:rPr>
          <w:rFonts w:ascii="Calibri" w:hAnsi="Calibri"/>
          <w:sz w:val="22"/>
          <w:szCs w:val="22"/>
        </w:rPr>
        <w:t xml:space="preserve">konstatoval, že kombinace obou typů řešení se v minulosti neosvědčila v případě </w:t>
      </w:r>
      <w:proofErr w:type="spellStart"/>
      <w:r>
        <w:rPr>
          <w:rFonts w:ascii="Calibri" w:hAnsi="Calibri"/>
          <w:sz w:val="22"/>
          <w:szCs w:val="22"/>
        </w:rPr>
        <w:t>JCDecaux</w:t>
      </w:r>
      <w:proofErr w:type="spellEnd"/>
      <w:r>
        <w:rPr>
          <w:rFonts w:ascii="Calibri" w:hAnsi="Calibri"/>
          <w:sz w:val="22"/>
          <w:szCs w:val="22"/>
        </w:rPr>
        <w:t xml:space="preserve">. Definována byla koncese na typ zařízení, ne seznam umístění zařízení. Je tedy nutná správná definice koncese.   </w:t>
      </w:r>
      <w:r w:rsidR="00DC6A10">
        <w:rPr>
          <w:rFonts w:ascii="Calibri" w:hAnsi="Calibri"/>
          <w:sz w:val="22"/>
          <w:szCs w:val="22"/>
        </w:rPr>
        <w:t xml:space="preserve"> </w:t>
      </w:r>
    </w:p>
    <w:p w14:paraId="19C8E168" w14:textId="27C7C399" w:rsidR="002C2CAF" w:rsidRPr="00C9239A" w:rsidRDefault="002C2CAF" w:rsidP="00C9239A">
      <w:pPr>
        <w:pStyle w:val="Zhlav"/>
        <w:tabs>
          <w:tab w:val="clear" w:pos="4536"/>
        </w:tabs>
        <w:jc w:val="both"/>
        <w:rPr>
          <w:rFonts w:ascii="Calibri" w:hAnsi="Calibri"/>
          <w:sz w:val="22"/>
          <w:szCs w:val="22"/>
        </w:rPr>
      </w:pPr>
    </w:p>
    <w:p w14:paraId="4865AF26" w14:textId="3E286428" w:rsidR="00811DFE" w:rsidRDefault="00811DFE" w:rsidP="00C77E4E">
      <w:pPr>
        <w:pStyle w:val="Zhlav"/>
        <w:numPr>
          <w:ilvl w:val="0"/>
          <w:numId w:val="14"/>
        </w:numPr>
        <w:tabs>
          <w:tab w:val="clear" w:pos="4536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Plakátovací sloup nesmí být umístěn na mostech. </w:t>
      </w:r>
    </w:p>
    <w:p w14:paraId="2E9720D5" w14:textId="5E086AA9" w:rsidR="007916E9" w:rsidRDefault="007916E9" w:rsidP="00041A25">
      <w:pPr>
        <w:pStyle w:val="Zhlav"/>
        <w:tabs>
          <w:tab w:val="clear" w:pos="4536"/>
          <w:tab w:val="left" w:pos="709"/>
        </w:tabs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P. Michal konstatoval, že tento bod není nutné řešit, jelikož bude stanoven minimální průchozí koridor. </w:t>
      </w:r>
    </w:p>
    <w:p w14:paraId="13875DF6" w14:textId="77777777" w:rsidR="002C2CAF" w:rsidRDefault="002C2CAF" w:rsidP="002C2CAF">
      <w:pPr>
        <w:pStyle w:val="Zhlav"/>
        <w:tabs>
          <w:tab w:val="clear" w:pos="4536"/>
          <w:tab w:val="left" w:pos="709"/>
        </w:tabs>
        <w:jc w:val="both"/>
        <w:rPr>
          <w:rFonts w:ascii="Calibri" w:hAnsi="Calibri"/>
          <w:sz w:val="22"/>
          <w:szCs w:val="22"/>
        </w:rPr>
      </w:pPr>
    </w:p>
    <w:p w14:paraId="64284C59" w14:textId="7344949B" w:rsidR="00811DFE" w:rsidRDefault="00811DFE" w:rsidP="00C77E4E">
      <w:pPr>
        <w:pStyle w:val="Zhlav"/>
        <w:numPr>
          <w:ilvl w:val="0"/>
          <w:numId w:val="14"/>
        </w:numPr>
        <w:tabs>
          <w:tab w:val="clear" w:pos="4536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Plakátovací sloupy umístěné v památkově chráněném území musí být jednotného vzhledu. </w:t>
      </w:r>
    </w:p>
    <w:p w14:paraId="2905F479" w14:textId="1E12300F" w:rsidR="00B851BD" w:rsidRDefault="00B851BD" w:rsidP="00B851BD">
      <w:pPr>
        <w:pStyle w:val="Zhlav"/>
        <w:tabs>
          <w:tab w:val="clear" w:pos="4536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P. Michal konstatoval, že se jedná o typické zadání pro koncesi. </w:t>
      </w:r>
    </w:p>
    <w:p w14:paraId="13023FD2" w14:textId="77777777" w:rsidR="00F044E8" w:rsidRDefault="00F044E8" w:rsidP="00A20AC2">
      <w:pPr>
        <w:pStyle w:val="Zhlav"/>
        <w:tabs>
          <w:tab w:val="clear" w:pos="4536"/>
          <w:tab w:val="left" w:pos="709"/>
        </w:tabs>
        <w:jc w:val="both"/>
        <w:rPr>
          <w:rFonts w:ascii="Calibri" w:hAnsi="Calibri"/>
          <w:sz w:val="22"/>
          <w:szCs w:val="22"/>
        </w:rPr>
      </w:pPr>
    </w:p>
    <w:p w14:paraId="0228C858" w14:textId="1731C0AE" w:rsidR="00041A25" w:rsidRDefault="00BF6F58" w:rsidP="00041A25">
      <w:pPr>
        <w:pStyle w:val="Zhlav"/>
        <w:tabs>
          <w:tab w:val="clear" w:pos="4536"/>
          <w:tab w:val="left" w:pos="709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3) Diskuse</w:t>
      </w:r>
    </w:p>
    <w:p w14:paraId="6AB98B7B" w14:textId="77777777" w:rsidR="00BF6F58" w:rsidRDefault="00BF6F58" w:rsidP="00041A25">
      <w:pPr>
        <w:pStyle w:val="Zhlav"/>
        <w:tabs>
          <w:tab w:val="clear" w:pos="4536"/>
          <w:tab w:val="left" w:pos="709"/>
        </w:tabs>
        <w:jc w:val="both"/>
        <w:rPr>
          <w:rFonts w:ascii="Calibri" w:hAnsi="Calibri"/>
          <w:sz w:val="22"/>
          <w:szCs w:val="22"/>
        </w:rPr>
      </w:pPr>
    </w:p>
    <w:p w14:paraId="68A48DA8" w14:textId="6DB21196" w:rsidR="00BF6F58" w:rsidRDefault="00041A25" w:rsidP="00041A25">
      <w:pPr>
        <w:pStyle w:val="Zhlav"/>
        <w:tabs>
          <w:tab w:val="clear" w:pos="4536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2647F">
        <w:rPr>
          <w:rFonts w:ascii="Calibri" w:hAnsi="Calibri"/>
          <w:sz w:val="22"/>
          <w:szCs w:val="22"/>
        </w:rPr>
        <w:t xml:space="preserve"> komise</w:t>
      </w:r>
      <w:r>
        <w:rPr>
          <w:rFonts w:ascii="Calibri" w:hAnsi="Calibri"/>
          <w:sz w:val="22"/>
          <w:szCs w:val="22"/>
        </w:rPr>
        <w:t xml:space="preserve"> konstatoval, že pokud bude vybrána cesta formou koncese, je potřeba </w:t>
      </w:r>
      <w:r w:rsidR="007105FD">
        <w:rPr>
          <w:rFonts w:ascii="Calibri" w:hAnsi="Calibri"/>
          <w:sz w:val="22"/>
          <w:szCs w:val="22"/>
        </w:rPr>
        <w:t>stanovit obchodní pravidla</w:t>
      </w:r>
      <w:r>
        <w:rPr>
          <w:rFonts w:ascii="Calibri" w:hAnsi="Calibri"/>
          <w:sz w:val="22"/>
          <w:szCs w:val="22"/>
        </w:rPr>
        <w:t xml:space="preserve">. P. Michal doplnil, že </w:t>
      </w:r>
      <w:r w:rsidR="007105FD">
        <w:rPr>
          <w:rFonts w:ascii="Calibri" w:hAnsi="Calibri"/>
          <w:sz w:val="22"/>
          <w:szCs w:val="22"/>
        </w:rPr>
        <w:t xml:space="preserve">by nemělo být určováno, zda bude věc </w:t>
      </w:r>
      <w:proofErr w:type="spellStart"/>
      <w:r w:rsidR="007105FD">
        <w:rPr>
          <w:rFonts w:ascii="Calibri" w:hAnsi="Calibri"/>
          <w:sz w:val="22"/>
          <w:szCs w:val="22"/>
        </w:rPr>
        <w:t>podsvětlená</w:t>
      </w:r>
      <w:proofErr w:type="spellEnd"/>
      <w:r w:rsidR="007105FD">
        <w:rPr>
          <w:rFonts w:ascii="Calibri" w:hAnsi="Calibri"/>
          <w:sz w:val="22"/>
          <w:szCs w:val="22"/>
        </w:rPr>
        <w:t xml:space="preserve"> nebo </w:t>
      </w:r>
      <w:proofErr w:type="spellStart"/>
      <w:r w:rsidR="007105FD">
        <w:rPr>
          <w:rFonts w:ascii="Calibri" w:hAnsi="Calibri"/>
          <w:sz w:val="22"/>
          <w:szCs w:val="22"/>
        </w:rPr>
        <w:t>nadsvětlená</w:t>
      </w:r>
      <w:proofErr w:type="spellEnd"/>
      <w:r w:rsidR="007105FD">
        <w:rPr>
          <w:rFonts w:ascii="Calibri" w:hAnsi="Calibri"/>
          <w:sz w:val="22"/>
          <w:szCs w:val="22"/>
        </w:rPr>
        <w:t>, protože to má přímý dopad do komerční použitelnosti a výnosů. Předseda</w:t>
      </w:r>
      <w:r w:rsidR="00B724EB">
        <w:rPr>
          <w:rFonts w:ascii="Calibri" w:hAnsi="Calibri"/>
          <w:sz w:val="22"/>
          <w:szCs w:val="22"/>
        </w:rPr>
        <w:t xml:space="preserve"> komise</w:t>
      </w:r>
      <w:r w:rsidR="007105FD">
        <w:rPr>
          <w:rFonts w:ascii="Calibri" w:hAnsi="Calibri"/>
          <w:sz w:val="22"/>
          <w:szCs w:val="22"/>
        </w:rPr>
        <w:t xml:space="preserve"> dále doplnil, že bude stanoven maximální vy</w:t>
      </w:r>
      <w:r w:rsidR="00BF6F58">
        <w:rPr>
          <w:rFonts w:ascii="Calibri" w:hAnsi="Calibri"/>
          <w:sz w:val="22"/>
          <w:szCs w:val="22"/>
        </w:rPr>
        <w:t>z</w:t>
      </w:r>
      <w:r w:rsidR="007105FD">
        <w:rPr>
          <w:rFonts w:ascii="Calibri" w:hAnsi="Calibri"/>
          <w:sz w:val="22"/>
          <w:szCs w:val="22"/>
        </w:rPr>
        <w:t>á</w:t>
      </w:r>
      <w:r w:rsidR="00BF6F58">
        <w:rPr>
          <w:rFonts w:ascii="Calibri" w:hAnsi="Calibri"/>
          <w:sz w:val="22"/>
          <w:szCs w:val="22"/>
        </w:rPr>
        <w:t>ř</w:t>
      </w:r>
      <w:r w:rsidR="007105FD">
        <w:rPr>
          <w:rFonts w:ascii="Calibri" w:hAnsi="Calibri"/>
          <w:sz w:val="22"/>
          <w:szCs w:val="22"/>
        </w:rPr>
        <w:t>ený světelný tok, který je měřitelný. Jedná se spíše o obchodní podmínku. Je to interní věc pro výrobce indikativní nabídky, kterou lze otestovat na pár partnerech</w:t>
      </w:r>
      <w:r w:rsidR="00827909">
        <w:rPr>
          <w:rFonts w:ascii="Calibri" w:hAnsi="Calibri"/>
          <w:sz w:val="22"/>
          <w:szCs w:val="22"/>
        </w:rPr>
        <w:t xml:space="preserve">. V první fázi bychom se měli věnovat PPR, jelikož území PZ jsou charakterově dosti nestejná. </w:t>
      </w:r>
      <w:r w:rsidR="00BF6F58">
        <w:rPr>
          <w:rFonts w:ascii="Calibri" w:hAnsi="Calibri"/>
          <w:sz w:val="22"/>
          <w:szCs w:val="22"/>
        </w:rPr>
        <w:t xml:space="preserve">Památková pravidla má PPR jednotná a jiná památková pravidla mají jednotlivé PZ. </w:t>
      </w:r>
    </w:p>
    <w:p w14:paraId="7A444519" w14:textId="77777777" w:rsidR="00BF6F58" w:rsidRDefault="00BF6F58" w:rsidP="00041A25">
      <w:pPr>
        <w:pStyle w:val="Zhlav"/>
        <w:tabs>
          <w:tab w:val="clear" w:pos="4536"/>
          <w:tab w:val="left" w:pos="709"/>
        </w:tabs>
        <w:jc w:val="both"/>
        <w:rPr>
          <w:rFonts w:ascii="Calibri" w:hAnsi="Calibri"/>
          <w:sz w:val="22"/>
          <w:szCs w:val="22"/>
        </w:rPr>
      </w:pPr>
    </w:p>
    <w:p w14:paraId="513D8214" w14:textId="591EE1EC" w:rsidR="00041A25" w:rsidRDefault="00BF6F58" w:rsidP="00BF6F58">
      <w:pPr>
        <w:pStyle w:val="Zhlav"/>
        <w:tabs>
          <w:tab w:val="clear" w:pos="4536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BF6F58">
        <w:rPr>
          <w:rFonts w:ascii="Calibri" w:hAnsi="Calibri"/>
          <w:sz w:val="22"/>
          <w:szCs w:val="22"/>
        </w:rPr>
        <w:t>A.</w:t>
      </w:r>
      <w:r>
        <w:rPr>
          <w:rFonts w:ascii="Calibri" w:hAnsi="Calibri"/>
          <w:sz w:val="22"/>
          <w:szCs w:val="22"/>
        </w:rPr>
        <w:t xml:space="preserve"> Zábranský se dotázal, co to znamená procesně. Předseda </w:t>
      </w:r>
      <w:r w:rsidR="00B724EB">
        <w:rPr>
          <w:rFonts w:ascii="Calibri" w:hAnsi="Calibri"/>
          <w:sz w:val="22"/>
          <w:szCs w:val="22"/>
        </w:rPr>
        <w:t xml:space="preserve">komise </w:t>
      </w:r>
      <w:r w:rsidR="00A20AC2">
        <w:rPr>
          <w:rFonts w:ascii="Calibri" w:hAnsi="Calibri"/>
          <w:sz w:val="22"/>
          <w:szCs w:val="22"/>
        </w:rPr>
        <w:t>odpověděl</w:t>
      </w:r>
      <w:r>
        <w:rPr>
          <w:rFonts w:ascii="Calibri" w:hAnsi="Calibri"/>
          <w:sz w:val="22"/>
          <w:szCs w:val="22"/>
        </w:rPr>
        <w:t>, že jakmile budou zohledněny připomínky, je</w:t>
      </w:r>
      <w:r w:rsidR="00B724EB">
        <w:rPr>
          <w:rFonts w:ascii="Calibri" w:hAnsi="Calibri"/>
          <w:sz w:val="22"/>
          <w:szCs w:val="22"/>
        </w:rPr>
        <w:t xml:space="preserve"> potřeba</w:t>
      </w:r>
      <w:r>
        <w:rPr>
          <w:rFonts w:ascii="Calibri" w:hAnsi="Calibri"/>
          <w:sz w:val="22"/>
          <w:szCs w:val="22"/>
        </w:rPr>
        <w:t xml:space="preserve"> vytvoř</w:t>
      </w:r>
      <w:r w:rsidR="00B724EB">
        <w:rPr>
          <w:rFonts w:ascii="Calibri" w:hAnsi="Calibri"/>
          <w:sz w:val="22"/>
          <w:szCs w:val="22"/>
        </w:rPr>
        <w:t>it</w:t>
      </w:r>
      <w:r>
        <w:rPr>
          <w:rFonts w:ascii="Calibri" w:hAnsi="Calibri"/>
          <w:sz w:val="22"/>
          <w:szCs w:val="22"/>
        </w:rPr>
        <w:t xml:space="preserve"> indikativní nabídku a otes</w:t>
      </w:r>
      <w:r w:rsidR="00B724EB">
        <w:rPr>
          <w:rFonts w:ascii="Calibri" w:hAnsi="Calibri"/>
          <w:sz w:val="22"/>
          <w:szCs w:val="22"/>
        </w:rPr>
        <w:t>tovat</w:t>
      </w:r>
      <w:r>
        <w:rPr>
          <w:rFonts w:ascii="Calibri" w:hAnsi="Calibri"/>
          <w:sz w:val="22"/>
          <w:szCs w:val="22"/>
        </w:rPr>
        <w:t xml:space="preserve"> jí na potenciálních partnerech na trhu.</w:t>
      </w:r>
      <w:r w:rsidR="00AD0DBB">
        <w:rPr>
          <w:rFonts w:ascii="Calibri" w:hAnsi="Calibri"/>
          <w:sz w:val="22"/>
          <w:szCs w:val="22"/>
        </w:rPr>
        <w:t xml:space="preserve"> P. Michal konstatoval, že podporuje myšlenku zadání IPR. J. Ševčík požádal o smysluplné řešení posloupnosti. A. Zábranský reagoval, že proces bude nakonec jiný. Nejdříve se zpracuje indikativní seznam, pak se provede tržní průzkum, získá se povolení, vyhlásí se koncese a následně se vypoví smlouvy.   </w:t>
      </w:r>
      <w:r>
        <w:rPr>
          <w:rFonts w:ascii="Calibri" w:hAnsi="Calibri"/>
          <w:sz w:val="22"/>
          <w:szCs w:val="22"/>
        </w:rPr>
        <w:t xml:space="preserve"> </w:t>
      </w:r>
      <w:r w:rsidR="007105FD">
        <w:rPr>
          <w:rFonts w:ascii="Calibri" w:hAnsi="Calibri"/>
          <w:sz w:val="22"/>
          <w:szCs w:val="22"/>
        </w:rPr>
        <w:t xml:space="preserve">  </w:t>
      </w:r>
    </w:p>
    <w:p w14:paraId="3AEDB983" w14:textId="77777777" w:rsidR="007372B9" w:rsidRDefault="007372B9" w:rsidP="007372B9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66377CF9" w14:textId="77777777" w:rsidR="007372B9" w:rsidRDefault="007372B9" w:rsidP="00C138C4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6D60F654" w14:textId="77777777" w:rsidR="00A5144E" w:rsidRDefault="003C4CA9" w:rsidP="00C138C4">
      <w:pPr>
        <w:pStyle w:val="Zhlav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Závěr</w:t>
      </w:r>
      <w:r w:rsidR="00A5144E">
        <w:rPr>
          <w:rFonts w:ascii="Calibri" w:hAnsi="Calibri"/>
          <w:b/>
          <w:bCs/>
          <w:sz w:val="22"/>
          <w:szCs w:val="22"/>
        </w:rPr>
        <w:t>y z jednání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3CF07133" w14:textId="2CD92254" w:rsidR="00A5144E" w:rsidRDefault="00A5144E" w:rsidP="00C138C4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42184067" w14:textId="1AEDBC38" w:rsidR="00FF1130" w:rsidRDefault="002C2CAF" w:rsidP="00C138C4">
      <w:pPr>
        <w:pStyle w:val="Zhlav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Shrnutí k probraným bodům v rámci bodu č. 2</w:t>
      </w:r>
      <w:r w:rsidR="00C9239A">
        <w:rPr>
          <w:rFonts w:ascii="Calibri" w:hAnsi="Calibri"/>
          <w:b/>
          <w:bCs/>
          <w:sz w:val="22"/>
          <w:szCs w:val="22"/>
        </w:rPr>
        <w:t xml:space="preserve"> Zápisu</w:t>
      </w:r>
      <w:r w:rsidR="007916E9">
        <w:rPr>
          <w:rFonts w:ascii="Calibri" w:hAnsi="Calibri"/>
          <w:b/>
          <w:bCs/>
          <w:sz w:val="22"/>
          <w:szCs w:val="22"/>
        </w:rPr>
        <w:t xml:space="preserve"> – vnitřní zadání</w:t>
      </w:r>
    </w:p>
    <w:p w14:paraId="7805A2F8" w14:textId="77777777" w:rsidR="00C9239A" w:rsidRDefault="00C9239A" w:rsidP="00C138C4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7047312E" w14:textId="61CE61ED" w:rsidR="002C2CAF" w:rsidRDefault="002C2CAF" w:rsidP="00A20AC2">
      <w:pPr>
        <w:pStyle w:val="Zhlav"/>
        <w:numPr>
          <w:ilvl w:val="0"/>
          <w:numId w:val="3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Plakátovací sloup musí být </w:t>
      </w:r>
      <w:proofErr w:type="spellStart"/>
      <w:r>
        <w:rPr>
          <w:rFonts w:ascii="Calibri" w:hAnsi="Calibri"/>
          <w:sz w:val="22"/>
          <w:szCs w:val="22"/>
        </w:rPr>
        <w:t>p</w:t>
      </w:r>
      <w:r w:rsidR="007916E9">
        <w:rPr>
          <w:rFonts w:ascii="Calibri" w:hAnsi="Calibri"/>
          <w:sz w:val="22"/>
          <w:szCs w:val="22"/>
        </w:rPr>
        <w:t>ovolitelný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60E8F822" w14:textId="209C5CF3" w:rsidR="007916E9" w:rsidRDefault="002C2CAF" w:rsidP="00A20AC2">
      <w:pPr>
        <w:pStyle w:val="Zhlav"/>
        <w:numPr>
          <w:ilvl w:val="0"/>
          <w:numId w:val="3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Musí mít </w:t>
      </w:r>
      <w:r w:rsidR="007916E9">
        <w:rPr>
          <w:rFonts w:ascii="Calibri" w:hAnsi="Calibri"/>
          <w:sz w:val="22"/>
          <w:szCs w:val="22"/>
        </w:rPr>
        <w:t xml:space="preserve">minimální vzdálenosti. </w:t>
      </w:r>
    </w:p>
    <w:p w14:paraId="2971457C" w14:textId="25625416" w:rsidR="002C2CAF" w:rsidRDefault="007916E9" w:rsidP="00A20AC2">
      <w:pPr>
        <w:pStyle w:val="Zhlav"/>
        <w:numPr>
          <w:ilvl w:val="0"/>
          <w:numId w:val="3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Musí mít maximální</w:t>
      </w:r>
      <w:r w:rsidR="002C2CAF">
        <w:rPr>
          <w:rFonts w:ascii="Calibri" w:hAnsi="Calibri"/>
          <w:sz w:val="22"/>
          <w:szCs w:val="22"/>
        </w:rPr>
        <w:t xml:space="preserve"> průměry</w:t>
      </w:r>
      <w:r>
        <w:rPr>
          <w:rFonts w:ascii="Calibri" w:hAnsi="Calibri"/>
          <w:sz w:val="22"/>
          <w:szCs w:val="22"/>
        </w:rPr>
        <w:t xml:space="preserve"> a výšku. </w:t>
      </w:r>
    </w:p>
    <w:p w14:paraId="432ADF1D" w14:textId="1261F8C1" w:rsidR="007916E9" w:rsidRDefault="007916E9" w:rsidP="00A20AC2">
      <w:pPr>
        <w:pStyle w:val="Zhlav"/>
        <w:numPr>
          <w:ilvl w:val="0"/>
          <w:numId w:val="3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místě rozšíření veřejné prostranství – není striktní regulativ</w:t>
      </w:r>
    </w:p>
    <w:p w14:paraId="5390CB85" w14:textId="0594F284" w:rsidR="007916E9" w:rsidRDefault="007916E9" w:rsidP="00A20AC2">
      <w:pPr>
        <w:pStyle w:val="Zhlav"/>
        <w:numPr>
          <w:ilvl w:val="0"/>
          <w:numId w:val="3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Neřešit rozhledové úhly apod. – je předmětem řešení státní správy</w:t>
      </w:r>
    </w:p>
    <w:p w14:paraId="6E912057" w14:textId="3181FD70" w:rsidR="007916E9" w:rsidRDefault="007916E9" w:rsidP="00A20AC2">
      <w:pPr>
        <w:pStyle w:val="Zhlav"/>
        <w:numPr>
          <w:ilvl w:val="0"/>
          <w:numId w:val="3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Definova</w:t>
      </w:r>
      <w:r w:rsidR="00C9239A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 minimální průchozí koridor</w:t>
      </w:r>
      <w:r w:rsidR="00C9239A">
        <w:rPr>
          <w:rFonts w:ascii="Calibri" w:hAnsi="Calibri"/>
          <w:sz w:val="22"/>
          <w:szCs w:val="22"/>
        </w:rPr>
        <w:t>.</w:t>
      </w:r>
    </w:p>
    <w:p w14:paraId="013FE0AF" w14:textId="238F15BF" w:rsidR="007916E9" w:rsidRDefault="007916E9" w:rsidP="00A20AC2">
      <w:pPr>
        <w:pStyle w:val="Zhlav"/>
        <w:numPr>
          <w:ilvl w:val="0"/>
          <w:numId w:val="3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Nebude to v kontradikci s významnými kulturními památkami – není nutné, soulad s památkovou péčí je dán již v rámci povolení</w:t>
      </w:r>
      <w:r w:rsidR="00C9239A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05A82698" w14:textId="1989196A" w:rsidR="00041A25" w:rsidRDefault="00041A25" w:rsidP="00A20AC2">
      <w:pPr>
        <w:pStyle w:val="Zhlav"/>
        <w:numPr>
          <w:ilvl w:val="0"/>
          <w:numId w:val="3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Zákaz umístění reklamy na mostech vyřešen v rámci minimálního průchozího koridoru. </w:t>
      </w:r>
    </w:p>
    <w:p w14:paraId="7CC01734" w14:textId="77777777" w:rsidR="002C2CAF" w:rsidRDefault="002C2CAF" w:rsidP="00C138C4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5913EFF3" w14:textId="77777777" w:rsidR="00F044E8" w:rsidRDefault="00F044E8" w:rsidP="00C138C4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2E68227B" w14:textId="15F1D4BC" w:rsidR="003C4CA9" w:rsidRPr="00B21A54" w:rsidRDefault="00C138C4" w:rsidP="00C138C4">
      <w:pPr>
        <w:pStyle w:val="Zhlav"/>
        <w:rPr>
          <w:rFonts w:ascii="Calibri" w:hAnsi="Calibri"/>
          <w:b/>
          <w:bCs/>
          <w:sz w:val="22"/>
          <w:szCs w:val="22"/>
        </w:rPr>
      </w:pPr>
      <w:r w:rsidRPr="003C4CA9">
        <w:rPr>
          <w:rFonts w:ascii="Calibri" w:hAnsi="Calibri"/>
          <w:sz w:val="22"/>
          <w:szCs w:val="22"/>
        </w:rPr>
        <w:t xml:space="preserve">Předseda </w:t>
      </w:r>
      <w:r w:rsidR="00B724EB">
        <w:rPr>
          <w:rFonts w:ascii="Calibri" w:hAnsi="Calibri"/>
          <w:sz w:val="22"/>
          <w:szCs w:val="22"/>
        </w:rPr>
        <w:t xml:space="preserve">komise </w:t>
      </w:r>
      <w:r w:rsidR="00A5144E">
        <w:rPr>
          <w:rFonts w:ascii="Calibri" w:hAnsi="Calibri"/>
          <w:sz w:val="22"/>
          <w:szCs w:val="22"/>
        </w:rPr>
        <w:t xml:space="preserve">na závěr </w:t>
      </w:r>
      <w:r w:rsidRPr="003C4CA9">
        <w:rPr>
          <w:rFonts w:ascii="Calibri" w:hAnsi="Calibri"/>
          <w:sz w:val="22"/>
          <w:szCs w:val="22"/>
        </w:rPr>
        <w:t xml:space="preserve">konstatoval, že </w:t>
      </w:r>
      <w:r w:rsidR="00AD0DBB">
        <w:rPr>
          <w:rFonts w:ascii="Calibri" w:hAnsi="Calibri"/>
          <w:sz w:val="22"/>
          <w:szCs w:val="22"/>
        </w:rPr>
        <w:t>předpokládá činnost Komise tak, že se sejde vždy ke konkrétnímu</w:t>
      </w:r>
      <w:r w:rsidR="00F044E8">
        <w:rPr>
          <w:rFonts w:ascii="Calibri" w:hAnsi="Calibri"/>
          <w:sz w:val="22"/>
          <w:szCs w:val="22"/>
        </w:rPr>
        <w:t xml:space="preserve"> </w:t>
      </w:r>
      <w:r w:rsidR="00AD0DBB">
        <w:rPr>
          <w:rFonts w:ascii="Calibri" w:hAnsi="Calibri"/>
          <w:sz w:val="22"/>
          <w:szCs w:val="22"/>
        </w:rPr>
        <w:t>problému</w:t>
      </w:r>
      <w:r w:rsidR="00F044E8">
        <w:rPr>
          <w:rFonts w:ascii="Calibri" w:hAnsi="Calibri"/>
          <w:sz w:val="22"/>
          <w:szCs w:val="22"/>
        </w:rPr>
        <w:t xml:space="preserve"> souvisejícím s podporou podnikání</w:t>
      </w:r>
      <w:r w:rsidR="00AD0DBB">
        <w:rPr>
          <w:rFonts w:ascii="Calibri" w:hAnsi="Calibri"/>
          <w:sz w:val="22"/>
          <w:szCs w:val="22"/>
        </w:rPr>
        <w:t>.</w:t>
      </w:r>
      <w:r w:rsidR="00F044E8">
        <w:rPr>
          <w:rFonts w:ascii="Calibri" w:hAnsi="Calibri"/>
          <w:sz w:val="22"/>
          <w:szCs w:val="22"/>
        </w:rPr>
        <w:t xml:space="preserve"> P. Michal vyjádřil souhlas, jelikož jednání ohledně reklamních ploch bylo užitečné. </w:t>
      </w:r>
      <w:r w:rsidR="00AD0DBB">
        <w:rPr>
          <w:rFonts w:ascii="Calibri" w:hAnsi="Calibri"/>
          <w:sz w:val="22"/>
          <w:szCs w:val="22"/>
        </w:rPr>
        <w:t xml:space="preserve"> </w:t>
      </w:r>
    </w:p>
    <w:p w14:paraId="5C1CFB45" w14:textId="77777777" w:rsidR="003C4CA9" w:rsidRDefault="003C4CA9" w:rsidP="00C138C4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6DD5A95D" w14:textId="0FB42AB5" w:rsidR="003914BA" w:rsidRDefault="003C4CA9" w:rsidP="00A5144E">
      <w:pPr>
        <w:jc w:val="both"/>
        <w:rPr>
          <w:rFonts w:cstheme="minorHAnsi"/>
        </w:rPr>
      </w:pPr>
      <w:r>
        <w:rPr>
          <w:rFonts w:cstheme="minorHAnsi"/>
        </w:rPr>
        <w:t xml:space="preserve">Předseda poděkoval za účast a </w:t>
      </w:r>
      <w:r w:rsidR="00A5144E">
        <w:rPr>
          <w:rFonts w:cstheme="minorHAnsi"/>
        </w:rPr>
        <w:t>v</w:t>
      </w:r>
      <w:r w:rsidR="00F044E8">
        <w:rPr>
          <w:rFonts w:cstheme="minorHAnsi"/>
        </w:rPr>
        <w:t>e</w:t>
      </w:r>
      <w:r w:rsidR="00A5144E">
        <w:rPr>
          <w:rFonts w:cstheme="minorHAnsi"/>
        </w:rPr>
        <w:t> 1</w:t>
      </w:r>
      <w:r w:rsidR="00F044E8">
        <w:rPr>
          <w:rFonts w:cstheme="minorHAnsi"/>
        </w:rPr>
        <w:t>4</w:t>
      </w:r>
      <w:r w:rsidR="00A5144E">
        <w:rPr>
          <w:rFonts w:cstheme="minorHAnsi"/>
        </w:rPr>
        <w:t>:</w:t>
      </w:r>
      <w:r w:rsidR="00F044E8">
        <w:rPr>
          <w:rFonts w:cstheme="minorHAnsi"/>
        </w:rPr>
        <w:t>00</w:t>
      </w:r>
      <w:r w:rsidR="00A5144E">
        <w:rPr>
          <w:rFonts w:cstheme="minorHAnsi"/>
        </w:rPr>
        <w:t xml:space="preserve"> </w:t>
      </w:r>
      <w:r>
        <w:rPr>
          <w:rFonts w:cstheme="minorHAnsi"/>
        </w:rPr>
        <w:t>ukončil jednání</w:t>
      </w:r>
      <w:r w:rsidR="00A5144E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p w14:paraId="6916FD7E" w14:textId="77777777" w:rsidR="00B21A54" w:rsidRDefault="00B21A54" w:rsidP="00FF1130">
      <w:pPr>
        <w:pStyle w:val="Zhlav"/>
        <w:rPr>
          <w:rFonts w:ascii="Calibri" w:hAnsi="Calibri"/>
          <w:sz w:val="22"/>
          <w:szCs w:val="22"/>
        </w:rPr>
      </w:pPr>
    </w:p>
    <w:p w14:paraId="6BFD871F" w14:textId="390B1AF1" w:rsidR="00FF1130" w:rsidRDefault="00FF1130" w:rsidP="00FF1130">
      <w:pPr>
        <w:pStyle w:val="Zhlav"/>
        <w:rPr>
          <w:rFonts w:ascii="Calibri" w:hAnsi="Calibri"/>
          <w:b/>
          <w:bCs/>
          <w:sz w:val="22"/>
          <w:szCs w:val="22"/>
        </w:rPr>
      </w:pPr>
      <w:r w:rsidRPr="00487DBC">
        <w:rPr>
          <w:rFonts w:ascii="Calibri" w:hAnsi="Calibri"/>
          <w:sz w:val="22"/>
          <w:szCs w:val="22"/>
        </w:rPr>
        <w:t xml:space="preserve">Schválil: </w:t>
      </w:r>
      <w:r w:rsidR="006B5B9C" w:rsidRPr="006B5B9C">
        <w:rPr>
          <w:rFonts w:ascii="Calibri" w:hAnsi="Calibri"/>
          <w:b/>
          <w:bCs/>
          <w:sz w:val="22"/>
          <w:szCs w:val="22"/>
        </w:rPr>
        <w:t xml:space="preserve">Ing. </w:t>
      </w:r>
      <w:r w:rsidRPr="006B5B9C">
        <w:rPr>
          <w:rFonts w:ascii="Calibri" w:hAnsi="Calibri"/>
          <w:b/>
          <w:bCs/>
          <w:sz w:val="22"/>
          <w:szCs w:val="22"/>
        </w:rPr>
        <w:t>Zdeněk</w:t>
      </w:r>
      <w:r>
        <w:rPr>
          <w:rFonts w:ascii="Calibri" w:hAnsi="Calibri"/>
          <w:b/>
          <w:bCs/>
          <w:sz w:val="22"/>
          <w:szCs w:val="22"/>
        </w:rPr>
        <w:t xml:space="preserve"> Kovářík </w:t>
      </w:r>
      <w:r w:rsidRPr="00487DBC">
        <w:rPr>
          <w:rFonts w:ascii="Calibri" w:hAnsi="Calibri"/>
          <w:sz w:val="22"/>
          <w:szCs w:val="22"/>
        </w:rPr>
        <w:t>– předseda komise</w:t>
      </w:r>
    </w:p>
    <w:p w14:paraId="4EEFF06E" w14:textId="77777777" w:rsidR="00A5144E" w:rsidRPr="00A5144E" w:rsidRDefault="00A5144E" w:rsidP="00A5144E">
      <w:pPr>
        <w:jc w:val="both"/>
        <w:rPr>
          <w:rFonts w:cstheme="minorHAnsi"/>
        </w:rPr>
      </w:pPr>
    </w:p>
    <w:p w14:paraId="4D58A118" w14:textId="77777777" w:rsidR="003C4CA9" w:rsidRPr="00CC3DB8" w:rsidRDefault="003C4CA9">
      <w:pPr>
        <w:jc w:val="both"/>
        <w:rPr>
          <w:rFonts w:cstheme="minorHAnsi"/>
        </w:rPr>
      </w:pPr>
    </w:p>
    <w:sectPr w:rsidR="003C4CA9" w:rsidRPr="00CC3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92C"/>
    <w:multiLevelType w:val="hybridMultilevel"/>
    <w:tmpl w:val="6B065C96"/>
    <w:lvl w:ilvl="0" w:tplc="89449A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B6DB3"/>
    <w:multiLevelType w:val="hybridMultilevel"/>
    <w:tmpl w:val="97A2B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4C26"/>
    <w:multiLevelType w:val="hybridMultilevel"/>
    <w:tmpl w:val="69BE14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50E9"/>
    <w:multiLevelType w:val="hybridMultilevel"/>
    <w:tmpl w:val="FEDA8AEE"/>
    <w:lvl w:ilvl="0" w:tplc="3B9EA8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62599"/>
    <w:multiLevelType w:val="hybridMultilevel"/>
    <w:tmpl w:val="028AD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56BE"/>
    <w:multiLevelType w:val="hybridMultilevel"/>
    <w:tmpl w:val="1EEA7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4507"/>
    <w:multiLevelType w:val="hybridMultilevel"/>
    <w:tmpl w:val="603A19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C2E04"/>
    <w:multiLevelType w:val="hybridMultilevel"/>
    <w:tmpl w:val="E9FC10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13985"/>
    <w:multiLevelType w:val="hybridMultilevel"/>
    <w:tmpl w:val="F8429826"/>
    <w:lvl w:ilvl="0" w:tplc="1AB86E9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BE5638"/>
    <w:multiLevelType w:val="hybridMultilevel"/>
    <w:tmpl w:val="6C58E3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90280"/>
    <w:multiLevelType w:val="hybridMultilevel"/>
    <w:tmpl w:val="26E20D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45132"/>
    <w:multiLevelType w:val="hybridMultilevel"/>
    <w:tmpl w:val="72188612"/>
    <w:lvl w:ilvl="0" w:tplc="082AA4C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D86ADA"/>
    <w:multiLevelType w:val="hybridMultilevel"/>
    <w:tmpl w:val="E63C261E"/>
    <w:lvl w:ilvl="0" w:tplc="AC28F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4F66"/>
    <w:multiLevelType w:val="hybridMultilevel"/>
    <w:tmpl w:val="5590E7A8"/>
    <w:lvl w:ilvl="0" w:tplc="7B70E1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D60B1B"/>
    <w:multiLevelType w:val="hybridMultilevel"/>
    <w:tmpl w:val="660660CC"/>
    <w:lvl w:ilvl="0" w:tplc="49D6F0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4C0220"/>
    <w:multiLevelType w:val="hybridMultilevel"/>
    <w:tmpl w:val="412826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A0100"/>
    <w:multiLevelType w:val="hybridMultilevel"/>
    <w:tmpl w:val="E0801852"/>
    <w:lvl w:ilvl="0" w:tplc="10D4075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9952FA"/>
    <w:multiLevelType w:val="hybridMultilevel"/>
    <w:tmpl w:val="85D00F7A"/>
    <w:lvl w:ilvl="0" w:tplc="5942CBA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94081"/>
    <w:multiLevelType w:val="hybridMultilevel"/>
    <w:tmpl w:val="53160E0A"/>
    <w:lvl w:ilvl="0" w:tplc="24CE5ACA">
      <w:start w:val="1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8F4BCD"/>
    <w:multiLevelType w:val="hybridMultilevel"/>
    <w:tmpl w:val="7C8686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73A8D"/>
    <w:multiLevelType w:val="hybridMultilevel"/>
    <w:tmpl w:val="75F4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54777"/>
    <w:multiLevelType w:val="hybridMultilevel"/>
    <w:tmpl w:val="BB623394"/>
    <w:lvl w:ilvl="0" w:tplc="7110E8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821C78"/>
    <w:multiLevelType w:val="hybridMultilevel"/>
    <w:tmpl w:val="29ECA6B6"/>
    <w:lvl w:ilvl="0" w:tplc="3A2E6F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279A7"/>
    <w:multiLevelType w:val="hybridMultilevel"/>
    <w:tmpl w:val="FAA8ADAA"/>
    <w:lvl w:ilvl="0" w:tplc="157A4D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665A6E"/>
    <w:multiLevelType w:val="hybridMultilevel"/>
    <w:tmpl w:val="57421048"/>
    <w:lvl w:ilvl="0" w:tplc="18304D9A">
      <w:start w:val="1"/>
      <w:numFmt w:val="decimal"/>
      <w:lvlText w:val="%1)"/>
      <w:lvlJc w:val="left"/>
      <w:pPr>
        <w:ind w:left="405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026097D"/>
    <w:multiLevelType w:val="hybridMultilevel"/>
    <w:tmpl w:val="479A5230"/>
    <w:lvl w:ilvl="0" w:tplc="04050011">
      <w:start w:val="1"/>
      <w:numFmt w:val="decimal"/>
      <w:lvlText w:val="%1)"/>
      <w:lvlJc w:val="left"/>
      <w:pPr>
        <w:ind w:left="405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863D2"/>
    <w:multiLevelType w:val="hybridMultilevel"/>
    <w:tmpl w:val="C3702EE2"/>
    <w:lvl w:ilvl="0" w:tplc="497EED1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7C03A7"/>
    <w:multiLevelType w:val="hybridMultilevel"/>
    <w:tmpl w:val="D478B20A"/>
    <w:lvl w:ilvl="0" w:tplc="864690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A82F64"/>
    <w:multiLevelType w:val="hybridMultilevel"/>
    <w:tmpl w:val="A4BEA6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B346C"/>
    <w:multiLevelType w:val="hybridMultilevel"/>
    <w:tmpl w:val="00DC54C4"/>
    <w:lvl w:ilvl="0" w:tplc="FF0C173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B8E794C"/>
    <w:multiLevelType w:val="hybridMultilevel"/>
    <w:tmpl w:val="3536DAC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F2AF7"/>
    <w:multiLevelType w:val="hybridMultilevel"/>
    <w:tmpl w:val="425EA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C5FF2"/>
    <w:multiLevelType w:val="hybridMultilevel"/>
    <w:tmpl w:val="13947BCE"/>
    <w:lvl w:ilvl="0" w:tplc="D6867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32584"/>
    <w:multiLevelType w:val="hybridMultilevel"/>
    <w:tmpl w:val="090EC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56CAD"/>
    <w:multiLevelType w:val="hybridMultilevel"/>
    <w:tmpl w:val="E2A8D3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B6309"/>
    <w:multiLevelType w:val="hybridMultilevel"/>
    <w:tmpl w:val="260C1B1E"/>
    <w:lvl w:ilvl="0" w:tplc="D2742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262F3"/>
    <w:multiLevelType w:val="hybridMultilevel"/>
    <w:tmpl w:val="3AAE8A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4"/>
  </w:num>
  <w:num w:numId="4">
    <w:abstractNumId w:val="31"/>
  </w:num>
  <w:num w:numId="5">
    <w:abstractNumId w:val="5"/>
  </w:num>
  <w:num w:numId="6">
    <w:abstractNumId w:val="17"/>
  </w:num>
  <w:num w:numId="7">
    <w:abstractNumId w:val="36"/>
  </w:num>
  <w:num w:numId="8">
    <w:abstractNumId w:val="22"/>
  </w:num>
  <w:num w:numId="9">
    <w:abstractNumId w:val="25"/>
  </w:num>
  <w:num w:numId="10">
    <w:abstractNumId w:val="32"/>
  </w:num>
  <w:num w:numId="11">
    <w:abstractNumId w:val="10"/>
  </w:num>
  <w:num w:numId="12">
    <w:abstractNumId w:val="6"/>
  </w:num>
  <w:num w:numId="13">
    <w:abstractNumId w:val="33"/>
  </w:num>
  <w:num w:numId="14">
    <w:abstractNumId w:val="20"/>
  </w:num>
  <w:num w:numId="15">
    <w:abstractNumId w:val="18"/>
  </w:num>
  <w:num w:numId="16">
    <w:abstractNumId w:val="23"/>
  </w:num>
  <w:num w:numId="17">
    <w:abstractNumId w:val="28"/>
  </w:num>
  <w:num w:numId="18">
    <w:abstractNumId w:val="9"/>
  </w:num>
  <w:num w:numId="19">
    <w:abstractNumId w:val="29"/>
  </w:num>
  <w:num w:numId="20">
    <w:abstractNumId w:val="11"/>
  </w:num>
  <w:num w:numId="21">
    <w:abstractNumId w:val="35"/>
  </w:num>
  <w:num w:numId="22">
    <w:abstractNumId w:val="13"/>
  </w:num>
  <w:num w:numId="23">
    <w:abstractNumId w:val="26"/>
  </w:num>
  <w:num w:numId="24">
    <w:abstractNumId w:val="19"/>
  </w:num>
  <w:num w:numId="25">
    <w:abstractNumId w:val="16"/>
  </w:num>
  <w:num w:numId="26">
    <w:abstractNumId w:val="7"/>
  </w:num>
  <w:num w:numId="27">
    <w:abstractNumId w:val="14"/>
  </w:num>
  <w:num w:numId="28">
    <w:abstractNumId w:val="2"/>
  </w:num>
  <w:num w:numId="29">
    <w:abstractNumId w:val="21"/>
  </w:num>
  <w:num w:numId="30">
    <w:abstractNumId w:val="30"/>
  </w:num>
  <w:num w:numId="31">
    <w:abstractNumId w:val="0"/>
  </w:num>
  <w:num w:numId="32">
    <w:abstractNumId w:val="27"/>
  </w:num>
  <w:num w:numId="33">
    <w:abstractNumId w:val="3"/>
  </w:num>
  <w:num w:numId="34">
    <w:abstractNumId w:val="8"/>
  </w:num>
  <w:num w:numId="35">
    <w:abstractNumId w:val="15"/>
  </w:num>
  <w:num w:numId="36">
    <w:abstractNumId w:val="3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48"/>
    <w:rsid w:val="00016F18"/>
    <w:rsid w:val="00041A25"/>
    <w:rsid w:val="00045360"/>
    <w:rsid w:val="00045498"/>
    <w:rsid w:val="00053144"/>
    <w:rsid w:val="0006569A"/>
    <w:rsid w:val="000A287F"/>
    <w:rsid w:val="000D1208"/>
    <w:rsid w:val="000E1056"/>
    <w:rsid w:val="0014234D"/>
    <w:rsid w:val="00151E2A"/>
    <w:rsid w:val="0018268C"/>
    <w:rsid w:val="001B7A85"/>
    <w:rsid w:val="001C7DBE"/>
    <w:rsid w:val="00223F6A"/>
    <w:rsid w:val="0026790A"/>
    <w:rsid w:val="0029381F"/>
    <w:rsid w:val="002A5697"/>
    <w:rsid w:val="002C2CAF"/>
    <w:rsid w:val="002D19AD"/>
    <w:rsid w:val="003304AD"/>
    <w:rsid w:val="0037789A"/>
    <w:rsid w:val="00384C03"/>
    <w:rsid w:val="00390100"/>
    <w:rsid w:val="003914BA"/>
    <w:rsid w:val="003B758C"/>
    <w:rsid w:val="003C4CA9"/>
    <w:rsid w:val="003D4403"/>
    <w:rsid w:val="00431AD4"/>
    <w:rsid w:val="00434777"/>
    <w:rsid w:val="00445898"/>
    <w:rsid w:val="004458AF"/>
    <w:rsid w:val="004468E3"/>
    <w:rsid w:val="00463534"/>
    <w:rsid w:val="00467A90"/>
    <w:rsid w:val="00482A93"/>
    <w:rsid w:val="0048768F"/>
    <w:rsid w:val="00487DBC"/>
    <w:rsid w:val="004B4CE1"/>
    <w:rsid w:val="005E2443"/>
    <w:rsid w:val="006179D5"/>
    <w:rsid w:val="00625F62"/>
    <w:rsid w:val="00625F91"/>
    <w:rsid w:val="00635AF9"/>
    <w:rsid w:val="006650FF"/>
    <w:rsid w:val="006A2F3D"/>
    <w:rsid w:val="006B5B9C"/>
    <w:rsid w:val="006E446D"/>
    <w:rsid w:val="006F4C37"/>
    <w:rsid w:val="007105FD"/>
    <w:rsid w:val="007157B9"/>
    <w:rsid w:val="0072647F"/>
    <w:rsid w:val="0072758E"/>
    <w:rsid w:val="00727652"/>
    <w:rsid w:val="007372B9"/>
    <w:rsid w:val="007916E9"/>
    <w:rsid w:val="007E37D5"/>
    <w:rsid w:val="00811DFE"/>
    <w:rsid w:val="00827909"/>
    <w:rsid w:val="00827EEA"/>
    <w:rsid w:val="008D7AB0"/>
    <w:rsid w:val="00907250"/>
    <w:rsid w:val="00910C9D"/>
    <w:rsid w:val="009513BB"/>
    <w:rsid w:val="009B48E5"/>
    <w:rsid w:val="009D2379"/>
    <w:rsid w:val="009E5EEC"/>
    <w:rsid w:val="00A11647"/>
    <w:rsid w:val="00A20AC2"/>
    <w:rsid w:val="00A5144E"/>
    <w:rsid w:val="00A551C4"/>
    <w:rsid w:val="00A70E47"/>
    <w:rsid w:val="00A75FA5"/>
    <w:rsid w:val="00A80776"/>
    <w:rsid w:val="00A9388C"/>
    <w:rsid w:val="00AD0DBB"/>
    <w:rsid w:val="00AE5707"/>
    <w:rsid w:val="00B15F0E"/>
    <w:rsid w:val="00B21A54"/>
    <w:rsid w:val="00B43C5C"/>
    <w:rsid w:val="00B43D04"/>
    <w:rsid w:val="00B724EB"/>
    <w:rsid w:val="00B7768B"/>
    <w:rsid w:val="00B84F63"/>
    <w:rsid w:val="00B851BD"/>
    <w:rsid w:val="00BA15F2"/>
    <w:rsid w:val="00BF6F58"/>
    <w:rsid w:val="00C138C4"/>
    <w:rsid w:val="00C53200"/>
    <w:rsid w:val="00C700B8"/>
    <w:rsid w:val="00C77E4E"/>
    <w:rsid w:val="00C9239A"/>
    <w:rsid w:val="00CC3DB8"/>
    <w:rsid w:val="00CE1E67"/>
    <w:rsid w:val="00CF7848"/>
    <w:rsid w:val="00D022DC"/>
    <w:rsid w:val="00D24907"/>
    <w:rsid w:val="00D47383"/>
    <w:rsid w:val="00D72831"/>
    <w:rsid w:val="00D83629"/>
    <w:rsid w:val="00DB7955"/>
    <w:rsid w:val="00DC6A10"/>
    <w:rsid w:val="00DF6E69"/>
    <w:rsid w:val="00E51473"/>
    <w:rsid w:val="00E61B9C"/>
    <w:rsid w:val="00E62617"/>
    <w:rsid w:val="00E71321"/>
    <w:rsid w:val="00ED0B5C"/>
    <w:rsid w:val="00EF4F8F"/>
    <w:rsid w:val="00F044E8"/>
    <w:rsid w:val="00F10B1A"/>
    <w:rsid w:val="00F22C15"/>
    <w:rsid w:val="00F276B2"/>
    <w:rsid w:val="00F545D5"/>
    <w:rsid w:val="00F60933"/>
    <w:rsid w:val="00F900C9"/>
    <w:rsid w:val="00F92123"/>
    <w:rsid w:val="00FB3D3E"/>
    <w:rsid w:val="00FC7C8D"/>
    <w:rsid w:val="00FE4BA5"/>
    <w:rsid w:val="00FF1130"/>
    <w:rsid w:val="00FF5B5D"/>
    <w:rsid w:val="2705CD99"/>
    <w:rsid w:val="4DA51690"/>
    <w:rsid w:val="697B9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5A64F"/>
  <w15:docId w15:val="{342079FD-13BF-4A0A-94C4-C16CAF96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2443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D249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249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61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617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E105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B3D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stupy xmlns="4b7b03b8-9d89-4efb-8d76-53c599cf632b">
      <UserInfo>
        <DisplayName/>
        <AccountId xsi:nil="true"/>
        <AccountType/>
      </UserInfo>
    </P_x0159__x00ed_stupy>
    <TaxCatchAll xmlns="e865bc2c-fc80-4511-a047-cb3cf7d260b0" xsi:nil="true"/>
    <lcf76f155ced4ddcb4097134ff3c332f xmlns="4b7b03b8-9d89-4efb-8d76-53c599cf632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8FCC9C81E140BCF1778ABD73FC67" ma:contentTypeVersion="17" ma:contentTypeDescription="Create a new document." ma:contentTypeScope="" ma:versionID="61213d180c9fd683817065e9ee793b73">
  <xsd:schema xmlns:xsd="http://www.w3.org/2001/XMLSchema" xmlns:xs="http://www.w3.org/2001/XMLSchema" xmlns:p="http://schemas.microsoft.com/office/2006/metadata/properties" xmlns:ns2="4b7b03b8-9d89-4efb-8d76-53c599cf632b" xmlns:ns3="e865bc2c-fc80-4511-a047-cb3cf7d260b0" targetNamespace="http://schemas.microsoft.com/office/2006/metadata/properties" ma:root="true" ma:fieldsID="4ce3745b1092ad2754785f5b65ff02f5" ns2:_="" ns3:_="">
    <xsd:import namespace="4b7b03b8-9d89-4efb-8d76-53c599cf632b"/>
    <xsd:import namespace="e865bc2c-fc80-4511-a047-cb3cf7d2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P_x0159__x00ed_stupy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b03b8-9d89-4efb-8d76-53c599cf6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P_x0159__x00ed_stupy" ma:index="18" nillable="true" ma:displayName="Přístupy" ma:format="Dropdown" ma:list="UserInfo" ma:SharePointGroup="0" ma:internalName="P_x0159__x00ed_stup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46c2c9-60c3-444e-8cca-efa36a949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bc2c-fc80-4511-a047-cb3cf7d2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c7056c-8fc5-470c-9cb9-b20815f96df8}" ma:internalName="TaxCatchAll" ma:showField="CatchAllData" ma:web="e865bc2c-fc80-4511-a047-cb3cf7d26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D4D07-4F1F-472A-A163-F64F9DD2E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BED78-B618-4F1E-B330-C3FFB880E876}">
  <ds:schemaRefs>
    <ds:schemaRef ds:uri="http://schemas.microsoft.com/office/2006/metadata/properties"/>
    <ds:schemaRef ds:uri="http://schemas.microsoft.com/office/infopath/2007/PartnerControls"/>
    <ds:schemaRef ds:uri="4b7b03b8-9d89-4efb-8d76-53c599cf632b"/>
    <ds:schemaRef ds:uri="e865bc2c-fc80-4511-a047-cb3cf7d260b0"/>
  </ds:schemaRefs>
</ds:datastoreItem>
</file>

<file path=customXml/itemProps3.xml><?xml version="1.0" encoding="utf-8"?>
<ds:datastoreItem xmlns:ds="http://schemas.openxmlformats.org/officeDocument/2006/customXml" ds:itemID="{4F74F361-FC91-40CC-BB9A-132665568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b03b8-9d89-4efb-8d76-53c599cf632b"/>
    <ds:schemaRef ds:uri="e865bc2c-fc80-4511-a047-cb3cf7d2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Pivovarová Blažena (MHMP, PRI)</cp:lastModifiedBy>
  <cp:revision>3</cp:revision>
  <dcterms:created xsi:type="dcterms:W3CDTF">2023-12-19T06:19:00Z</dcterms:created>
  <dcterms:modified xsi:type="dcterms:W3CDTF">2023-12-19T06:21:00Z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0x010100A4038FCC9C81E140BCF1778ABD73FC67</vt:lpwstr>
  </property>
  <property fmtid="{D5CDD505-2E9C-101B-9397-08002B2CF9AE}" pid="3" name="MediaServiceImageTags">
    <vt:lpwstr/>
  </property>
</Properties>
</file>