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3C" w:rsidRPr="00F87A00" w:rsidRDefault="003F063C" w:rsidP="000B79AA">
      <w:pPr>
        <w:pStyle w:val="Heading1"/>
        <w:numPr>
          <w:ilvl w:val="0"/>
          <w:numId w:val="0"/>
        </w:numPr>
        <w:spacing w:before="0" w:after="120"/>
        <w:ind w:left="680" w:hanging="680"/>
        <w:jc w:val="center"/>
      </w:pPr>
      <w:r w:rsidRPr="00F87A00">
        <w:t>Strategie dalšího rozvoje opencard</w:t>
      </w:r>
    </w:p>
    <w:p w:rsidR="003F063C" w:rsidRPr="00F87A00" w:rsidRDefault="003F063C" w:rsidP="000B79AA">
      <w:pPr>
        <w:pStyle w:val="Heading1"/>
      </w:pPr>
      <w:r w:rsidRPr="00F87A00">
        <w:t>Úvod</w:t>
      </w:r>
    </w:p>
    <w:p w:rsidR="003F063C" w:rsidRPr="00A44CDD" w:rsidRDefault="003F063C" w:rsidP="000B79AA">
      <w:pPr>
        <w:spacing w:after="240"/>
        <w:rPr>
          <w:rFonts w:cs="Arial"/>
          <w:szCs w:val="20"/>
        </w:rPr>
      </w:pPr>
      <w:r w:rsidRPr="00E9653B">
        <w:rPr>
          <w:rFonts w:cs="Arial"/>
          <w:szCs w:val="20"/>
        </w:rPr>
        <w:t xml:space="preserve">Projekt </w:t>
      </w:r>
      <w:r w:rsidRPr="00CB5F5C">
        <w:rPr>
          <w:rFonts w:cs="Arial"/>
          <w:b/>
          <w:szCs w:val="20"/>
        </w:rPr>
        <w:t>opencard</w:t>
      </w:r>
      <w:r w:rsidRPr="00E9653B">
        <w:rPr>
          <w:rFonts w:cs="Arial"/>
          <w:szCs w:val="20"/>
        </w:rPr>
        <w:t xml:space="preserve"> byl spuštěn v roce 2006 usnesením </w:t>
      </w:r>
      <w:r w:rsidRPr="00623C96">
        <w:rPr>
          <w:rFonts w:cs="Arial"/>
          <w:szCs w:val="20"/>
        </w:rPr>
        <w:t>RHMP č. 0708, kterým</w:t>
      </w:r>
      <w:r w:rsidRPr="00E9653B">
        <w:rPr>
          <w:rFonts w:cs="Arial"/>
          <w:szCs w:val="20"/>
        </w:rPr>
        <w:t xml:space="preserve"> bylo schváleno zahájení projektu opencard</w:t>
      </w:r>
      <w:r>
        <w:rPr>
          <w:rFonts w:cs="Arial"/>
          <w:szCs w:val="20"/>
        </w:rPr>
        <w:t xml:space="preserve"> a realizace Pražského Centra Kartových Služeb (PCKS)</w:t>
      </w:r>
      <w:r w:rsidRPr="00E9653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V roce 2007 byla zahájena m</w:t>
      </w:r>
      <w:r w:rsidRPr="00E9653B">
        <w:rPr>
          <w:rFonts w:cs="Arial"/>
          <w:szCs w:val="20"/>
        </w:rPr>
        <w:t xml:space="preserve">igrace cestujících PID na elektronické časové kupóny na opencard usnesením </w:t>
      </w:r>
      <w:r w:rsidRPr="00A472E3">
        <w:rPr>
          <w:rFonts w:cs="Arial"/>
          <w:szCs w:val="20"/>
        </w:rPr>
        <w:t xml:space="preserve">RHMP č. </w:t>
      </w:r>
      <w:r>
        <w:rPr>
          <w:rFonts w:cs="Arial"/>
          <w:szCs w:val="20"/>
        </w:rPr>
        <w:t>0517</w:t>
      </w:r>
      <w:r w:rsidRPr="00E9653B">
        <w:rPr>
          <w:rFonts w:cs="Arial"/>
          <w:szCs w:val="20"/>
        </w:rPr>
        <w:t xml:space="preserve">, </w:t>
      </w:r>
      <w:r w:rsidRPr="00A44CDD">
        <w:rPr>
          <w:rFonts w:cs="Arial"/>
          <w:szCs w:val="20"/>
        </w:rPr>
        <w:t xml:space="preserve">kterým bylo schváleno pokračování rozvoje projektu PCKS s cílem realizovat velkou emisi opencard včetně kartové aplikace "Předplatné" v Pražské integrované </w:t>
      </w:r>
      <w:r>
        <w:rPr>
          <w:rFonts w:cs="Arial"/>
          <w:szCs w:val="20"/>
        </w:rPr>
        <w:t xml:space="preserve">dopravě v období 2007 – </w:t>
      </w:r>
      <w:r w:rsidRPr="00A44CDD">
        <w:rPr>
          <w:rFonts w:cs="Arial"/>
          <w:szCs w:val="20"/>
        </w:rPr>
        <w:t>2008 v souladu s usnesením ZHMP č. 38/06 ze dne 25.</w:t>
      </w:r>
      <w:r>
        <w:rPr>
          <w:rFonts w:cs="Arial"/>
          <w:szCs w:val="20"/>
        </w:rPr>
        <w:t xml:space="preserve"> </w:t>
      </w:r>
      <w:r w:rsidRPr="00A44CDD">
        <w:rPr>
          <w:rFonts w:cs="Arial"/>
          <w:szCs w:val="20"/>
        </w:rPr>
        <w:t>5.</w:t>
      </w:r>
      <w:r>
        <w:rPr>
          <w:rFonts w:cs="Arial"/>
          <w:szCs w:val="20"/>
        </w:rPr>
        <w:t xml:space="preserve"> </w:t>
      </w:r>
      <w:r w:rsidRPr="00A44CDD">
        <w:rPr>
          <w:rFonts w:cs="Arial"/>
          <w:szCs w:val="20"/>
        </w:rPr>
        <w:t xml:space="preserve">2006. </w:t>
      </w:r>
    </w:p>
    <w:p w:rsidR="003F063C" w:rsidRPr="00C85C46" w:rsidRDefault="003F063C" w:rsidP="000B79AA">
      <w:pPr>
        <w:rPr>
          <w:b/>
          <w:color w:val="4F6228"/>
          <w:szCs w:val="20"/>
        </w:rPr>
      </w:pPr>
      <w:r w:rsidRPr="00C85C46">
        <w:rPr>
          <w:b/>
          <w:color w:val="4F6228"/>
          <w:szCs w:val="20"/>
        </w:rPr>
        <w:t>Současná situace a další rozvoj projektu opencard</w:t>
      </w:r>
    </w:p>
    <w:p w:rsidR="003F063C" w:rsidRDefault="003F063C" w:rsidP="000B79AA">
      <w:pPr>
        <w:jc w:val="center"/>
        <w:rPr>
          <w:rFonts w:cs="Arial"/>
          <w:szCs w:val="20"/>
        </w:rPr>
      </w:pPr>
      <w:r w:rsidRPr="009104EE">
        <w:rPr>
          <w:noProof/>
          <w:szCs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1.75pt;height:59.25pt;visibility:visible">
            <v:imagedata r:id="rId7" o:title=""/>
          </v:shape>
        </w:pict>
      </w:r>
    </w:p>
    <w:p w:rsidR="003F063C" w:rsidRPr="00A3746C" w:rsidRDefault="003F063C" w:rsidP="000B79AA">
      <w:pPr>
        <w:rPr>
          <w:rFonts w:ascii="Times New Roman" w:hAnsi="Times New Roman" w:cs="Arial"/>
          <w:szCs w:val="20"/>
        </w:rPr>
      </w:pPr>
      <w:r w:rsidRPr="00E9653B">
        <w:rPr>
          <w:rFonts w:cs="Arial"/>
          <w:szCs w:val="20"/>
        </w:rPr>
        <w:t xml:space="preserve">Zejména díky klíčové aplikaci DOS </w:t>
      </w:r>
      <w:r w:rsidRPr="00A3746C">
        <w:rPr>
          <w:rFonts w:cs="Arial"/>
          <w:szCs w:val="20"/>
        </w:rPr>
        <w:t xml:space="preserve">(předplatné) </w:t>
      </w:r>
      <w:r>
        <w:rPr>
          <w:rFonts w:cs="Arial"/>
          <w:szCs w:val="20"/>
        </w:rPr>
        <w:t>byl k 1. 3. 2010</w:t>
      </w:r>
      <w:r w:rsidRPr="00E9653B">
        <w:rPr>
          <w:rFonts w:cs="Arial"/>
          <w:szCs w:val="20"/>
        </w:rPr>
        <w:t xml:space="preserve"> </w:t>
      </w:r>
      <w:r w:rsidRPr="00E9653B">
        <w:rPr>
          <w:rFonts w:cs="Arial"/>
          <w:b/>
          <w:szCs w:val="20"/>
        </w:rPr>
        <w:t xml:space="preserve">počet vydaných opencard </w:t>
      </w:r>
      <w:r>
        <w:rPr>
          <w:rFonts w:cs="Arial"/>
          <w:b/>
          <w:szCs w:val="20"/>
        </w:rPr>
        <w:t>398</w:t>
      </w:r>
      <w:r w:rsidRPr="00E9653B">
        <w:rPr>
          <w:rFonts w:cs="Arial"/>
          <w:b/>
          <w:szCs w:val="20"/>
        </w:rPr>
        <w:t xml:space="preserve"> tisíc</w:t>
      </w:r>
      <w:r>
        <w:rPr>
          <w:rFonts w:cs="Arial"/>
          <w:b/>
          <w:szCs w:val="20"/>
        </w:rPr>
        <w:t>;</w:t>
      </w:r>
      <w:r w:rsidRPr="00E9653B">
        <w:rPr>
          <w:rFonts w:cs="Arial"/>
          <w:b/>
          <w:szCs w:val="20"/>
        </w:rPr>
        <w:t xml:space="preserve"> </w:t>
      </w:r>
      <w:r w:rsidRPr="00E9653B">
        <w:rPr>
          <w:rFonts w:cs="Arial"/>
          <w:szCs w:val="20"/>
        </w:rPr>
        <w:t xml:space="preserve">tuto aplikaci již aktivně využilo více než </w:t>
      </w:r>
      <w:r>
        <w:rPr>
          <w:rFonts w:cs="Arial"/>
          <w:b/>
          <w:szCs w:val="20"/>
        </w:rPr>
        <w:t>26</w:t>
      </w:r>
      <w:r w:rsidRPr="00B02BC3">
        <w:rPr>
          <w:rFonts w:cs="Arial"/>
          <w:b/>
          <w:szCs w:val="20"/>
        </w:rPr>
        <w:t>0</w:t>
      </w:r>
      <w:r w:rsidRPr="00E9653B">
        <w:rPr>
          <w:rFonts w:cs="Arial"/>
          <w:b/>
          <w:szCs w:val="20"/>
        </w:rPr>
        <w:t xml:space="preserve"> tisíc držitelů karty</w:t>
      </w:r>
      <w:r w:rsidRPr="00E9653B">
        <w:rPr>
          <w:rFonts w:cs="Arial"/>
          <w:szCs w:val="20"/>
        </w:rPr>
        <w:t>. Předpokládá se, že v roce 201</w:t>
      </w:r>
      <w:r>
        <w:rPr>
          <w:rFonts w:cs="Arial"/>
          <w:szCs w:val="20"/>
        </w:rPr>
        <w:t>5 bude střední velikost kmene pře</w:t>
      </w:r>
      <w:r w:rsidRPr="00E9653B">
        <w:rPr>
          <w:rFonts w:cs="Arial"/>
          <w:szCs w:val="20"/>
        </w:rPr>
        <w:t xml:space="preserve">sahovat </w:t>
      </w:r>
      <w:r w:rsidRPr="00B02BC3">
        <w:rPr>
          <w:rFonts w:cs="Arial"/>
          <w:b/>
          <w:szCs w:val="20"/>
        </w:rPr>
        <w:t>1 milión držitelů</w:t>
      </w:r>
      <w:r w:rsidRPr="00E9653B">
        <w:rPr>
          <w:rFonts w:cs="Arial"/>
          <w:szCs w:val="20"/>
        </w:rPr>
        <w:t xml:space="preserve"> opencard.</w:t>
      </w:r>
    </w:p>
    <w:p w:rsidR="003F063C" w:rsidRPr="008B7647" w:rsidRDefault="003F063C" w:rsidP="000B79AA">
      <w:pPr>
        <w:spacing w:before="0"/>
        <w:rPr>
          <w:rFonts w:ascii="Times New Roman" w:hAnsi="Times New Roman" w:cs="Arial"/>
        </w:rPr>
      </w:pPr>
      <w:r w:rsidRPr="00E9653B">
        <w:rPr>
          <w:rFonts w:cs="Arial"/>
          <w:szCs w:val="20"/>
        </w:rPr>
        <w:t xml:space="preserve">Projekt </w:t>
      </w:r>
      <w:r>
        <w:rPr>
          <w:rFonts w:cs="Arial"/>
          <w:szCs w:val="20"/>
        </w:rPr>
        <w:t>je v současnosti dobře technologicky připravený, a</w:t>
      </w:r>
      <w:r w:rsidRPr="00E9653B">
        <w:rPr>
          <w:rFonts w:cs="Arial"/>
          <w:szCs w:val="20"/>
        </w:rPr>
        <w:t xml:space="preserve">však </w:t>
      </w:r>
      <w:r w:rsidRPr="00E9653B">
        <w:rPr>
          <w:rFonts w:cs="Arial"/>
          <w:b/>
          <w:szCs w:val="20"/>
        </w:rPr>
        <w:t xml:space="preserve">nevyužívá </w:t>
      </w:r>
      <w:r>
        <w:rPr>
          <w:rFonts w:cs="Arial"/>
          <w:b/>
          <w:szCs w:val="20"/>
        </w:rPr>
        <w:t>svů</w:t>
      </w:r>
      <w:r w:rsidRPr="000C7339">
        <w:rPr>
          <w:rFonts w:cs="Arial"/>
          <w:b/>
          <w:szCs w:val="20"/>
        </w:rPr>
        <w:t>j obchodní potenciál, který spočívá zejména v nabídce další</w:t>
      </w:r>
      <w:r>
        <w:rPr>
          <w:rFonts w:cs="Arial"/>
          <w:b/>
          <w:szCs w:val="20"/>
        </w:rPr>
        <w:t xml:space="preserve">ch </w:t>
      </w:r>
      <w:r w:rsidRPr="00A3746C">
        <w:rPr>
          <w:rFonts w:cs="Arial"/>
          <w:szCs w:val="20"/>
        </w:rPr>
        <w:t xml:space="preserve">služeb </w:t>
      </w:r>
      <w:r w:rsidRPr="0085757C">
        <w:rPr>
          <w:rFonts w:cs="Arial"/>
          <w:szCs w:val="20"/>
        </w:rPr>
        <w:t>včetně bonusových</w:t>
      </w:r>
      <w:r>
        <w:rPr>
          <w:rFonts w:cs="Arial"/>
          <w:b/>
          <w:szCs w:val="20"/>
        </w:rPr>
        <w:t xml:space="preserve"> programů</w:t>
      </w:r>
      <w:r w:rsidRPr="000C7339">
        <w:rPr>
          <w:rFonts w:cs="Arial"/>
          <w:b/>
          <w:szCs w:val="20"/>
        </w:rPr>
        <w:t xml:space="preserve"> uživatelům karty. Současně, další rozvoj projektu bude realizován a financován </w:t>
      </w:r>
      <w:r w:rsidRPr="00A3746C">
        <w:rPr>
          <w:rFonts w:cs="Arial"/>
          <w:b/>
          <w:szCs w:val="20"/>
        </w:rPr>
        <w:t>s minimálním zapojením</w:t>
      </w:r>
      <w:r w:rsidRPr="000C7339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rozpoč</w:t>
      </w:r>
      <w:r w:rsidRPr="000C7339">
        <w:rPr>
          <w:rFonts w:cs="Arial"/>
          <w:b/>
          <w:szCs w:val="20"/>
        </w:rPr>
        <w:t>t</w:t>
      </w:r>
      <w:r>
        <w:rPr>
          <w:rFonts w:cs="Arial"/>
          <w:b/>
          <w:szCs w:val="20"/>
        </w:rPr>
        <w:t>u</w:t>
      </w:r>
      <w:r w:rsidRPr="000C7339">
        <w:rPr>
          <w:rFonts w:cs="Arial"/>
          <w:b/>
          <w:szCs w:val="20"/>
        </w:rPr>
        <w:t xml:space="preserve"> MHMP.  K termínu 30.</w:t>
      </w:r>
      <w:r>
        <w:rPr>
          <w:rFonts w:cs="Arial"/>
          <w:b/>
          <w:szCs w:val="20"/>
        </w:rPr>
        <w:t xml:space="preserve"> </w:t>
      </w:r>
      <w:r w:rsidRPr="000C7339">
        <w:rPr>
          <w:rFonts w:cs="Arial"/>
          <w:b/>
          <w:szCs w:val="20"/>
        </w:rPr>
        <w:t>6.</w:t>
      </w:r>
      <w:r>
        <w:rPr>
          <w:rFonts w:cs="Arial"/>
          <w:b/>
          <w:szCs w:val="20"/>
        </w:rPr>
        <w:t xml:space="preserve"> 2010 končí platnost</w:t>
      </w:r>
      <w:r w:rsidRPr="000C7339">
        <w:rPr>
          <w:rFonts w:cs="Arial"/>
          <w:b/>
          <w:szCs w:val="20"/>
        </w:rPr>
        <w:t xml:space="preserve"> smlouvy s dosavadním provozovatelem opencard </w:t>
      </w:r>
      <w:r w:rsidRPr="000C7339">
        <w:rPr>
          <w:rFonts w:cs="Arial"/>
          <w:szCs w:val="20"/>
        </w:rPr>
        <w:t>(společností Haguess, a.</w:t>
      </w:r>
      <w:r>
        <w:rPr>
          <w:rFonts w:cs="Arial"/>
          <w:szCs w:val="20"/>
        </w:rPr>
        <w:t xml:space="preserve"> </w:t>
      </w:r>
      <w:r w:rsidRPr="000C7339">
        <w:rPr>
          <w:rFonts w:cs="Arial"/>
          <w:szCs w:val="20"/>
        </w:rPr>
        <w:t xml:space="preserve">s.). </w:t>
      </w:r>
    </w:p>
    <w:p w:rsidR="003F063C" w:rsidRPr="008B7647" w:rsidRDefault="003F063C" w:rsidP="000B79AA">
      <w:pPr>
        <w:spacing w:before="0"/>
        <w:rPr>
          <w:rFonts w:ascii="Times New Roman" w:hAnsi="Times New Roman" w:cs="Arial"/>
          <w:b/>
          <w:szCs w:val="20"/>
        </w:rPr>
      </w:pPr>
      <w:r w:rsidRPr="0091249F">
        <w:rPr>
          <w:rFonts w:cs="Arial"/>
          <w:szCs w:val="20"/>
        </w:rPr>
        <w:t>Z výše uvedených důvodů je nutné najít řešení vzniklé situace;</w:t>
      </w:r>
      <w:r>
        <w:rPr>
          <w:rFonts w:cs="Arial"/>
          <w:b/>
          <w:szCs w:val="20"/>
        </w:rPr>
        <w:t xml:space="preserve"> ve světě obvyklý model představuje vytvoření dceřiné společnosti mezi dopravcem a provozovatelem kartového centra, </w:t>
      </w:r>
      <w:r>
        <w:rPr>
          <w:rFonts w:cs="Arial"/>
          <w:szCs w:val="20"/>
        </w:rPr>
        <w:t xml:space="preserve">která </w:t>
      </w:r>
      <w:r w:rsidRPr="008B3A73">
        <w:rPr>
          <w:rFonts w:cs="Arial"/>
          <w:szCs w:val="20"/>
        </w:rPr>
        <w:t>obsluhuje</w:t>
      </w:r>
      <w:r>
        <w:rPr>
          <w:rFonts w:cs="Arial"/>
          <w:szCs w:val="20"/>
        </w:rPr>
        <w:t xml:space="preserve"> držitel</w:t>
      </w:r>
      <w:r w:rsidRPr="00AF5B23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karty, a zajišťuje rozvoj a financování projektu. Zavedení benefitů spojených s držením a užíváním karty, například ve formě bonusových programů, významně akceleruje </w:t>
      </w:r>
      <w:r w:rsidRPr="009E487D">
        <w:rPr>
          <w:rFonts w:cs="Arial"/>
          <w:b/>
          <w:szCs w:val="20"/>
        </w:rPr>
        <w:t>růst atraktivity a hodnoty karty pro její držitele</w:t>
      </w:r>
      <w:r>
        <w:rPr>
          <w:rFonts w:cs="Arial"/>
          <w:szCs w:val="20"/>
        </w:rPr>
        <w:t>.</w:t>
      </w:r>
    </w:p>
    <w:p w:rsidR="003F063C" w:rsidRPr="008B7647" w:rsidRDefault="003F063C" w:rsidP="000B79AA">
      <w:pPr>
        <w:spacing w:after="120"/>
        <w:rPr>
          <w:rFonts w:ascii="Times New Roman" w:hAnsi="Times New Roman"/>
        </w:rPr>
      </w:pPr>
      <w:r w:rsidRPr="00E9653B">
        <w:t xml:space="preserve">Vyčleněním projektu mimo struktury MHMP formou </w:t>
      </w:r>
      <w:r>
        <w:rPr>
          <w:b/>
        </w:rPr>
        <w:t>převodu</w:t>
      </w:r>
      <w:r w:rsidRPr="00C56BA4">
        <w:rPr>
          <w:b/>
        </w:rPr>
        <w:t xml:space="preserve"> aktiv, kmene držitelů karty, do nově vzniklé společnosti</w:t>
      </w:r>
      <w:r w:rsidRPr="00E9653B">
        <w:t xml:space="preserve"> dojde k </w:t>
      </w:r>
      <w:r>
        <w:rPr>
          <w:b/>
        </w:rPr>
        <w:t>materializaci</w:t>
      </w:r>
      <w:r w:rsidRPr="00E9653B">
        <w:rPr>
          <w:b/>
        </w:rPr>
        <w:t xml:space="preserve"> počáteční investice MHMP</w:t>
      </w:r>
      <w:r w:rsidRPr="00E9653B">
        <w:t xml:space="preserve"> a k přípravě podmínek pro </w:t>
      </w:r>
      <w:r w:rsidRPr="00E9653B">
        <w:rPr>
          <w:b/>
        </w:rPr>
        <w:t>vstup strategického partnera projektu</w:t>
      </w:r>
      <w:r w:rsidRPr="00E9653B">
        <w:t>.</w:t>
      </w:r>
      <w:r>
        <w:rPr>
          <w:rFonts w:ascii="Times New Roman" w:hAnsi="Times New Roman"/>
        </w:rPr>
        <w:t xml:space="preserve"> </w:t>
      </w:r>
      <w:r w:rsidRPr="00143201">
        <w:t>Současně také dojde k zajištění transparentního oddělení financování projektu.</w:t>
      </w:r>
    </w:p>
    <w:p w:rsidR="003F063C" w:rsidRPr="008B7647" w:rsidRDefault="003F063C" w:rsidP="000B79AA">
      <w:pPr>
        <w:rPr>
          <w:rFonts w:ascii="Times New Roman" w:hAnsi="Times New Roman"/>
        </w:rPr>
      </w:pPr>
      <w:r w:rsidRPr="00F87A00">
        <w:t xml:space="preserve">Projekt opencard je </w:t>
      </w:r>
      <w:r>
        <w:t xml:space="preserve">dnes </w:t>
      </w:r>
      <w:r w:rsidRPr="00F87A00">
        <w:t xml:space="preserve">zajišťován několika </w:t>
      </w:r>
      <w:r>
        <w:t xml:space="preserve">klíčovými </w:t>
      </w:r>
      <w:r w:rsidRPr="00F87A00">
        <w:t>subjekty</w:t>
      </w:r>
      <w:r>
        <w:t>:</w:t>
      </w:r>
    </w:p>
    <w:tbl>
      <w:tblPr>
        <w:tblW w:w="0" w:type="auto"/>
        <w:tblInd w:w="70" w:type="dxa"/>
        <w:tblBorders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1422"/>
        <w:gridCol w:w="2235"/>
        <w:gridCol w:w="6833"/>
      </w:tblGrid>
      <w:tr w:rsidR="003F063C" w:rsidRPr="00CE6E48">
        <w:trPr>
          <w:trHeight w:val="193"/>
        </w:trPr>
        <w:tc>
          <w:tcPr>
            <w:tcW w:w="1422" w:type="dxa"/>
            <w:tcBorders>
              <w:top w:val="nil"/>
              <w:right w:val="single" w:sz="2" w:space="0" w:color="FFFFFF"/>
            </w:tcBorders>
            <w:shd w:val="clear" w:color="auto" w:fill="76923C"/>
          </w:tcPr>
          <w:p w:rsidR="003F063C" w:rsidRPr="0049546F" w:rsidRDefault="003F063C" w:rsidP="000B79AA">
            <w:pPr>
              <w:spacing w:before="40" w:after="40"/>
              <w:jc w:val="left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Subjekt</w:t>
            </w:r>
          </w:p>
        </w:tc>
        <w:tc>
          <w:tcPr>
            <w:tcW w:w="2235" w:type="dxa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76923C"/>
          </w:tcPr>
          <w:p w:rsidR="003F063C" w:rsidRPr="0049546F" w:rsidRDefault="003F063C" w:rsidP="000B79AA">
            <w:pPr>
              <w:spacing w:before="40" w:after="40"/>
              <w:jc w:val="left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Role</w:t>
            </w:r>
          </w:p>
        </w:tc>
        <w:tc>
          <w:tcPr>
            <w:tcW w:w="6833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Pr="008B7647" w:rsidRDefault="003F063C" w:rsidP="000B79AA">
            <w:pPr>
              <w:spacing w:before="40" w:after="40"/>
              <w:jc w:val="left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Hlavní činnosti</w:t>
            </w:r>
          </w:p>
        </w:tc>
      </w:tr>
      <w:tr w:rsidR="003F063C" w:rsidRPr="00CE6E48">
        <w:trPr>
          <w:trHeight w:val="219"/>
        </w:trPr>
        <w:tc>
          <w:tcPr>
            <w:tcW w:w="1422" w:type="dxa"/>
            <w:vMerge w:val="restart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49546F">
              <w:rPr>
                <w:b/>
                <w:sz w:val="16"/>
                <w:szCs w:val="16"/>
              </w:rPr>
              <w:t>MHMP</w:t>
            </w:r>
          </w:p>
        </w:tc>
        <w:tc>
          <w:tcPr>
            <w:tcW w:w="2235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40" w:after="40"/>
              <w:jc w:val="left"/>
              <w:rPr>
                <w:b/>
                <w:sz w:val="16"/>
                <w:szCs w:val="16"/>
              </w:rPr>
            </w:pPr>
            <w:r w:rsidRPr="00CE6E48">
              <w:rPr>
                <w:b/>
                <w:sz w:val="16"/>
                <w:szCs w:val="16"/>
              </w:rPr>
              <w:t>Vlastník a garant projektu</w:t>
            </w:r>
          </w:p>
        </w:tc>
        <w:tc>
          <w:tcPr>
            <w:tcW w:w="6833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Vlastní kmen držitelů OC.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Garantuje provoz a služby spojené s OC jejím držitelům.</w:t>
            </w:r>
          </w:p>
        </w:tc>
      </w:tr>
      <w:tr w:rsidR="003F063C" w:rsidRPr="00CE6E48">
        <w:trPr>
          <w:trHeight w:val="219"/>
        </w:trPr>
        <w:tc>
          <w:tcPr>
            <w:tcW w:w="1422" w:type="dxa"/>
            <w:vMerge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40" w:after="40"/>
              <w:jc w:val="left"/>
              <w:rPr>
                <w:b/>
                <w:sz w:val="16"/>
                <w:szCs w:val="16"/>
              </w:rPr>
            </w:pPr>
            <w:r w:rsidRPr="00CE6E48">
              <w:rPr>
                <w:b/>
                <w:sz w:val="16"/>
                <w:szCs w:val="16"/>
              </w:rPr>
              <w:t>Provozovatel kartové aplikace</w:t>
            </w:r>
          </w:p>
        </w:tc>
        <w:tc>
          <w:tcPr>
            <w:tcW w:w="6833" w:type="dxa"/>
            <w:shd w:val="clear" w:color="auto" w:fill="F2F2F2"/>
            <w:vAlign w:val="center"/>
          </w:tcPr>
          <w:p w:rsidR="003F063C" w:rsidRPr="007B1F28" w:rsidRDefault="003F063C" w:rsidP="000B79AA">
            <w:pPr>
              <w:spacing w:before="20" w:after="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Provozuje karto</w:t>
            </w:r>
            <w:r>
              <w:rPr>
                <w:sz w:val="16"/>
                <w:szCs w:val="16"/>
              </w:rPr>
              <w:t>vou aplikace „Vím, jak řídím“</w:t>
            </w:r>
            <w:r w:rsidRPr="00CE6E48">
              <w:rPr>
                <w:sz w:val="16"/>
                <w:szCs w:val="16"/>
              </w:rPr>
              <w:t>.</w:t>
            </w:r>
          </w:p>
        </w:tc>
      </w:tr>
      <w:tr w:rsidR="003F063C" w:rsidRPr="007B1F28">
        <w:trPr>
          <w:trHeight w:val="232"/>
        </w:trPr>
        <w:tc>
          <w:tcPr>
            <w:tcW w:w="1422" w:type="dxa"/>
            <w:vMerge w:val="restart"/>
            <w:shd w:val="clear" w:color="auto" w:fill="FFFFCC"/>
            <w:vAlign w:val="center"/>
          </w:tcPr>
          <w:p w:rsidR="003F063C" w:rsidRPr="007B1F28" w:rsidRDefault="003F063C" w:rsidP="000B79AA">
            <w:pPr>
              <w:spacing w:befor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9546F">
              <w:rPr>
                <w:b/>
                <w:sz w:val="16"/>
                <w:szCs w:val="16"/>
              </w:rPr>
              <w:t>HAGUESS, a.s.</w:t>
            </w:r>
          </w:p>
        </w:tc>
        <w:tc>
          <w:tcPr>
            <w:tcW w:w="2235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40" w:after="40"/>
              <w:jc w:val="left"/>
              <w:rPr>
                <w:b/>
                <w:sz w:val="16"/>
                <w:szCs w:val="16"/>
              </w:rPr>
            </w:pPr>
            <w:r w:rsidRPr="00CE6E48">
              <w:rPr>
                <w:b/>
                <w:sz w:val="16"/>
                <w:szCs w:val="16"/>
              </w:rPr>
              <w:t>Provozovatel Servisního Kartového Centra (SKC)</w:t>
            </w:r>
          </w:p>
        </w:tc>
        <w:tc>
          <w:tcPr>
            <w:tcW w:w="6833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 xml:space="preserve">Na základě smlouvy s MHMP zajišťuje veškerý provoz spojený s vydáním a distribucí karty. 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 xml:space="preserve">Zajišťuje provoz back-office a front-office 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Poskytuje MHMP licence spojené s užíváním OC.</w:t>
            </w:r>
          </w:p>
        </w:tc>
      </w:tr>
      <w:tr w:rsidR="003F063C" w:rsidRPr="007B1F28">
        <w:trPr>
          <w:trHeight w:val="232"/>
        </w:trPr>
        <w:tc>
          <w:tcPr>
            <w:tcW w:w="1422" w:type="dxa"/>
            <w:vMerge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2F2F2"/>
            <w:vAlign w:val="center"/>
          </w:tcPr>
          <w:p w:rsidR="003F063C" w:rsidRPr="00D83E1E" w:rsidRDefault="003F063C" w:rsidP="000B79AA">
            <w:pPr>
              <w:spacing w:before="40" w:after="40"/>
              <w:jc w:val="left"/>
              <w:rPr>
                <w:rFonts w:cs="Arial"/>
                <w:b/>
                <w:sz w:val="16"/>
                <w:szCs w:val="16"/>
              </w:rPr>
            </w:pPr>
            <w:r w:rsidRPr="00D83E1E">
              <w:rPr>
                <w:rFonts w:cs="Arial"/>
                <w:b/>
                <w:sz w:val="16"/>
                <w:szCs w:val="16"/>
              </w:rPr>
              <w:t>Provozovatel Kartové aplikace Parkování</w:t>
            </w:r>
          </w:p>
        </w:tc>
        <w:tc>
          <w:tcPr>
            <w:tcW w:w="6833" w:type="dxa"/>
            <w:shd w:val="clear" w:color="auto" w:fill="F2F2F2"/>
            <w:vAlign w:val="center"/>
          </w:tcPr>
          <w:p w:rsidR="003F063C" w:rsidRPr="008B3A73" w:rsidRDefault="003F063C" w:rsidP="000B79AA">
            <w:pPr>
              <w:spacing w:before="20" w:after="20"/>
              <w:jc w:val="left"/>
              <w:rPr>
                <w:rFonts w:cs="Arial"/>
                <w:sz w:val="16"/>
                <w:szCs w:val="16"/>
              </w:rPr>
            </w:pPr>
            <w:r w:rsidRPr="008B3A73">
              <w:rPr>
                <w:rFonts w:cs="Arial"/>
                <w:sz w:val="16"/>
                <w:szCs w:val="16"/>
              </w:rPr>
              <w:t>Zajišťuje Provoz kartové aplikace Parkování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3F063C" w:rsidRPr="00CE6E48">
        <w:trPr>
          <w:trHeight w:val="232"/>
        </w:trPr>
        <w:tc>
          <w:tcPr>
            <w:tcW w:w="1422" w:type="dxa"/>
            <w:vMerge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40" w:after="4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Dodavatel </w:t>
            </w:r>
            <w:r w:rsidRPr="00CE6E48">
              <w:rPr>
                <w:b/>
                <w:sz w:val="16"/>
                <w:szCs w:val="16"/>
              </w:rPr>
              <w:t>SW a aplikací</w:t>
            </w:r>
          </w:p>
        </w:tc>
        <w:tc>
          <w:tcPr>
            <w:tcW w:w="6833" w:type="dxa"/>
            <w:shd w:val="clear" w:color="auto" w:fill="F2F2F2"/>
            <w:vAlign w:val="center"/>
          </w:tcPr>
          <w:p w:rsidR="003F063C" w:rsidRPr="008B7647" w:rsidRDefault="003F063C" w:rsidP="000B79AA">
            <w:pPr>
              <w:spacing w:before="20" w:after="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Dodávka aplikace DOS.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Dodávka aplikací pro front-office a back-office Servisního Kartového Centra.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 xml:space="preserve">Poskytuje pro </w:t>
            </w:r>
            <w:r>
              <w:rPr>
                <w:sz w:val="16"/>
                <w:szCs w:val="16"/>
              </w:rPr>
              <w:t>DPHMP</w:t>
            </w:r>
            <w:r w:rsidRPr="00CE6E48">
              <w:rPr>
                <w:sz w:val="16"/>
                <w:szCs w:val="16"/>
              </w:rPr>
              <w:t xml:space="preserve"> licence DOS </w:t>
            </w:r>
          </w:p>
        </w:tc>
      </w:tr>
      <w:tr w:rsidR="003F063C" w:rsidRPr="00CE6E48">
        <w:trPr>
          <w:trHeight w:val="271"/>
        </w:trPr>
        <w:tc>
          <w:tcPr>
            <w:tcW w:w="1422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DPHMP</w:t>
            </w:r>
          </w:p>
        </w:tc>
        <w:tc>
          <w:tcPr>
            <w:tcW w:w="2235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40" w:after="40"/>
              <w:jc w:val="left"/>
              <w:rPr>
                <w:b/>
                <w:sz w:val="16"/>
                <w:szCs w:val="16"/>
              </w:rPr>
            </w:pPr>
            <w:r w:rsidRPr="00CE6E48">
              <w:rPr>
                <w:b/>
                <w:sz w:val="16"/>
                <w:szCs w:val="16"/>
              </w:rPr>
              <w:t xml:space="preserve">Provozovatel kartové aplikace </w:t>
            </w:r>
          </w:p>
        </w:tc>
        <w:tc>
          <w:tcPr>
            <w:tcW w:w="6833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Provozuje na OC </w:t>
            </w:r>
            <w:r w:rsidRPr="00CE6E48">
              <w:rPr>
                <w:sz w:val="16"/>
                <w:szCs w:val="16"/>
              </w:rPr>
              <w:t>kartovou aplikaci DOS na základě smlouvy s MHMP.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Provozuje, i prostřednictvím třetích stran, distribuč</w:t>
            </w:r>
            <w:r>
              <w:rPr>
                <w:sz w:val="16"/>
                <w:szCs w:val="16"/>
              </w:rPr>
              <w:t>ní síť DOS (kontaktní místa,  e-s</w:t>
            </w:r>
            <w:r w:rsidRPr="00CE6E48">
              <w:rPr>
                <w:sz w:val="16"/>
                <w:szCs w:val="16"/>
              </w:rPr>
              <w:t>hop, validátory).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Provozuje back-office DOS, spravuje a eviduje elektronické jízdné na OC.</w:t>
            </w:r>
          </w:p>
        </w:tc>
      </w:tr>
      <w:tr w:rsidR="003F063C" w:rsidRPr="00CE6E48">
        <w:trPr>
          <w:trHeight w:val="271"/>
        </w:trPr>
        <w:tc>
          <w:tcPr>
            <w:tcW w:w="1422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49546F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 xml:space="preserve">ěstská knihovna </w:t>
            </w:r>
          </w:p>
        </w:tc>
        <w:tc>
          <w:tcPr>
            <w:tcW w:w="2235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40" w:after="40"/>
              <w:jc w:val="left"/>
              <w:rPr>
                <w:b/>
                <w:sz w:val="16"/>
                <w:szCs w:val="16"/>
              </w:rPr>
            </w:pPr>
            <w:r w:rsidRPr="00CE6E48">
              <w:rPr>
                <w:b/>
                <w:sz w:val="16"/>
                <w:szCs w:val="16"/>
              </w:rPr>
              <w:t>Provozovatel kartové aplikace</w:t>
            </w:r>
          </w:p>
        </w:tc>
        <w:tc>
          <w:tcPr>
            <w:tcW w:w="6833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CE6E48">
              <w:rPr>
                <w:sz w:val="16"/>
                <w:szCs w:val="16"/>
              </w:rPr>
              <w:t>Provozuje kartovou aplikaci Čtenářský průkaz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3F063C" w:rsidRPr="00C85C46" w:rsidRDefault="003F063C" w:rsidP="000B79AA">
      <w:pPr>
        <w:spacing w:before="240"/>
        <w:rPr>
          <w:b/>
          <w:color w:val="4F6228"/>
          <w:szCs w:val="20"/>
        </w:rPr>
      </w:pPr>
      <w:r w:rsidRPr="00C85C46">
        <w:rPr>
          <w:b/>
          <w:color w:val="4F6228"/>
          <w:szCs w:val="20"/>
        </w:rPr>
        <w:t>3</w:t>
      </w:r>
      <w:r>
        <w:rPr>
          <w:b/>
          <w:color w:val="4F6228"/>
          <w:szCs w:val="20"/>
        </w:rPr>
        <w:t>98</w:t>
      </w:r>
      <w:r w:rsidRPr="00C85C46">
        <w:rPr>
          <w:b/>
          <w:color w:val="4F6228"/>
          <w:szCs w:val="20"/>
        </w:rPr>
        <w:t xml:space="preserve"> tisíc vydaných opencard a technologie umožňující další rozvoj</w:t>
      </w:r>
    </w:p>
    <w:p w:rsidR="003F063C" w:rsidRPr="00E9653B" w:rsidRDefault="003F063C" w:rsidP="000B79AA">
      <w:pPr>
        <w:rPr>
          <w:rFonts w:cs="Arial"/>
          <w:szCs w:val="20"/>
        </w:rPr>
      </w:pPr>
      <w:r w:rsidRPr="00E9653B">
        <w:rPr>
          <w:rFonts w:cs="Arial"/>
          <w:szCs w:val="20"/>
        </w:rPr>
        <w:t>Technologicky se opencard řadí mezi „</w:t>
      </w:r>
      <w:r w:rsidRPr="00E9653B">
        <w:rPr>
          <w:rFonts w:cs="Arial"/>
          <w:b/>
          <w:szCs w:val="20"/>
        </w:rPr>
        <w:t>chytré multiaplikační čipové karty</w:t>
      </w:r>
      <w:r w:rsidRPr="00E9653B">
        <w:rPr>
          <w:rFonts w:cs="Arial"/>
          <w:szCs w:val="20"/>
        </w:rPr>
        <w:t xml:space="preserve"> (SmartCard)“.  Technologie umožňuje umístit na kartu různé aplikace, a tím využívat pouze </w:t>
      </w:r>
      <w:r w:rsidRPr="00E9653B">
        <w:rPr>
          <w:rFonts w:cs="Arial"/>
          <w:b/>
          <w:szCs w:val="20"/>
        </w:rPr>
        <w:t xml:space="preserve">jednu fyzickou kartu pro </w:t>
      </w:r>
      <w:r w:rsidRPr="00143201">
        <w:rPr>
          <w:rFonts w:cs="Arial"/>
          <w:b/>
          <w:szCs w:val="20"/>
        </w:rPr>
        <w:t>poskytování různých služeb</w:t>
      </w:r>
      <w:r w:rsidRPr="00E9653B">
        <w:rPr>
          <w:rFonts w:cs="Arial"/>
          <w:szCs w:val="20"/>
        </w:rPr>
        <w:t xml:space="preserve">.  Standardní opencard je dnes vydávána jako karta </w:t>
      </w:r>
      <w:r w:rsidRPr="00E9653B">
        <w:rPr>
          <w:rFonts w:cs="Arial"/>
          <w:b/>
          <w:szCs w:val="20"/>
        </w:rPr>
        <w:t>s bezkontaktním čipem</w:t>
      </w:r>
      <w:r w:rsidRPr="00E9653B">
        <w:rPr>
          <w:rFonts w:cs="Arial"/>
          <w:szCs w:val="20"/>
        </w:rPr>
        <w:t xml:space="preserve"> založeným na bázi technologie MIFARE DESFire (4K), která poskytuje světově uznávaný standard zabezpečení obsahu karty i komunikace s kartou. Opencard je možné navíc získat jako kombinovanou kartu </w:t>
      </w:r>
      <w:r w:rsidRPr="00E9653B">
        <w:rPr>
          <w:rFonts w:cs="Arial"/>
          <w:b/>
          <w:szCs w:val="20"/>
        </w:rPr>
        <w:t>s kontaktním čipem</w:t>
      </w:r>
      <w:r w:rsidRPr="00E9653B">
        <w:rPr>
          <w:rFonts w:cs="Arial"/>
          <w:szCs w:val="20"/>
        </w:rPr>
        <w:t xml:space="preserve"> pro případ, kdy její držitel požaduje na kartu uložit elektronický podpis</w:t>
      </w:r>
      <w:r>
        <w:rPr>
          <w:rFonts w:ascii="Times New Roman" w:hAnsi="Times New Roman" w:cs="Arial"/>
          <w:szCs w:val="20"/>
        </w:rPr>
        <w:t xml:space="preserve"> </w:t>
      </w:r>
      <w:r w:rsidRPr="008B3A73">
        <w:rPr>
          <w:rFonts w:cs="Arial"/>
          <w:szCs w:val="20"/>
        </w:rPr>
        <w:t>a</w:t>
      </w:r>
      <w:r>
        <w:rPr>
          <w:rFonts w:ascii="Times New Roman" w:hAnsi="Times New Roman" w:cs="Arial"/>
          <w:szCs w:val="20"/>
        </w:rPr>
        <w:t xml:space="preserve"> </w:t>
      </w:r>
      <w:r>
        <w:rPr>
          <w:rFonts w:cs="Arial"/>
          <w:szCs w:val="20"/>
        </w:rPr>
        <w:t>využívat ji pro bezpeč</w:t>
      </w:r>
      <w:r w:rsidRPr="00143201">
        <w:rPr>
          <w:rFonts w:cs="Arial"/>
          <w:szCs w:val="20"/>
        </w:rPr>
        <w:t>né připojení k on-line službám</w:t>
      </w:r>
      <w:r w:rsidRPr="00E9653B">
        <w:rPr>
          <w:rFonts w:cs="Arial"/>
          <w:szCs w:val="20"/>
        </w:rPr>
        <w:t>.</w:t>
      </w:r>
    </w:p>
    <w:p w:rsidR="003F063C" w:rsidRPr="00866E39" w:rsidRDefault="003F063C" w:rsidP="000B79AA">
      <w:pPr>
        <w:spacing w:after="240"/>
        <w:rPr>
          <w:rFonts w:cs="Arial"/>
          <w:szCs w:val="20"/>
        </w:rPr>
      </w:pPr>
      <w:r w:rsidRPr="00E9653B">
        <w:rPr>
          <w:rFonts w:cs="Arial"/>
          <w:szCs w:val="20"/>
        </w:rPr>
        <w:t xml:space="preserve">Karta k dnešnímu dni umožňuje nahrát aplikace s funkcí </w:t>
      </w:r>
      <w:r w:rsidRPr="00E9653B">
        <w:rPr>
          <w:rFonts w:cs="Arial"/>
          <w:b/>
          <w:szCs w:val="20"/>
        </w:rPr>
        <w:t>placení v</w:t>
      </w:r>
      <w:r w:rsidRPr="00E9653B">
        <w:rPr>
          <w:rFonts w:cs="Arial"/>
          <w:szCs w:val="20"/>
        </w:rPr>
        <w:t> </w:t>
      </w:r>
      <w:r w:rsidRPr="00E9653B">
        <w:rPr>
          <w:rFonts w:cs="Arial"/>
          <w:b/>
          <w:szCs w:val="20"/>
        </w:rPr>
        <w:t xml:space="preserve">parkovacích automatech </w:t>
      </w:r>
      <w:r w:rsidRPr="00866E39">
        <w:rPr>
          <w:rFonts w:cs="Arial"/>
          <w:szCs w:val="20"/>
        </w:rPr>
        <w:t xml:space="preserve">(170 tis. uživatelů) v zónách placeného stání (Praha 1, 2, </w:t>
      </w:r>
      <w:smartTag w:uri="urn:schemas-microsoft-com:office:smarttags" w:element="metricconverter">
        <w:smartTagPr>
          <w:attr w:name="ProductID" w:val="3 a"/>
        </w:smartTagPr>
        <w:r w:rsidRPr="00866E39">
          <w:rPr>
            <w:rFonts w:cs="Arial"/>
            <w:szCs w:val="20"/>
          </w:rPr>
          <w:t>3 a</w:t>
        </w:r>
      </w:smartTag>
      <w:r w:rsidRPr="00866E39">
        <w:rPr>
          <w:rFonts w:cs="Arial"/>
          <w:szCs w:val="20"/>
        </w:rPr>
        <w:t xml:space="preserve"> 7), </w:t>
      </w:r>
      <w:r w:rsidRPr="00866E39">
        <w:rPr>
          <w:rFonts w:cs="Arial"/>
          <w:b/>
          <w:szCs w:val="20"/>
        </w:rPr>
        <w:t>čtenářský průkaz</w:t>
      </w:r>
      <w:r w:rsidRPr="00866E39">
        <w:rPr>
          <w:rFonts w:cs="Arial"/>
          <w:szCs w:val="20"/>
        </w:rPr>
        <w:t xml:space="preserve"> (40 tis. uživatelů) ve všech pobočkách Městské knihovny a služba „</w:t>
      </w:r>
      <w:r w:rsidRPr="00866E39">
        <w:rPr>
          <w:rFonts w:cs="Arial"/>
          <w:b/>
          <w:szCs w:val="20"/>
        </w:rPr>
        <w:t>Vím, jak řídím</w:t>
      </w:r>
      <w:r w:rsidRPr="00866E39">
        <w:rPr>
          <w:rFonts w:cs="Arial"/>
          <w:szCs w:val="20"/>
        </w:rPr>
        <w:t xml:space="preserve">“ (16 tis. uživatelů). Nosnou funkcí karty se stalo od roku 2008 její nasazení jako </w:t>
      </w:r>
      <w:r w:rsidRPr="00866E39">
        <w:rPr>
          <w:rFonts w:cs="Arial"/>
          <w:b/>
          <w:szCs w:val="20"/>
        </w:rPr>
        <w:t>nového</w:t>
      </w:r>
      <w:r w:rsidRPr="00866E39">
        <w:rPr>
          <w:rFonts w:cs="Arial"/>
          <w:szCs w:val="20"/>
        </w:rPr>
        <w:t xml:space="preserve"> </w:t>
      </w:r>
      <w:r w:rsidRPr="00866E39">
        <w:rPr>
          <w:rFonts w:cs="Arial"/>
          <w:b/>
          <w:szCs w:val="20"/>
        </w:rPr>
        <w:t>nosiče</w:t>
      </w:r>
      <w:r w:rsidRPr="00866E39">
        <w:rPr>
          <w:rFonts w:cs="Arial"/>
          <w:szCs w:val="20"/>
        </w:rPr>
        <w:t xml:space="preserve"> </w:t>
      </w:r>
      <w:r w:rsidRPr="00866E39">
        <w:rPr>
          <w:rFonts w:cs="Arial"/>
          <w:b/>
          <w:szCs w:val="20"/>
        </w:rPr>
        <w:t xml:space="preserve">časových kupónů PID </w:t>
      </w:r>
      <w:r>
        <w:rPr>
          <w:rFonts w:cs="Arial"/>
          <w:szCs w:val="20"/>
        </w:rPr>
        <w:t>(376</w:t>
      </w:r>
      <w:r w:rsidRPr="00866E39">
        <w:rPr>
          <w:rFonts w:cs="Arial"/>
          <w:szCs w:val="20"/>
        </w:rPr>
        <w:t xml:space="preserve"> tis. uživatelů).</w:t>
      </w:r>
    </w:p>
    <w:p w:rsidR="003F063C" w:rsidRPr="00F87A00" w:rsidRDefault="003F063C" w:rsidP="000B79AA">
      <w:pPr>
        <w:pStyle w:val="Heading1"/>
        <w:pageBreakBefore/>
      </w:pPr>
      <w:r w:rsidRPr="00F87A00">
        <w:t>Strategie opencard 2010</w:t>
      </w:r>
    </w:p>
    <w:p w:rsidR="003F063C" w:rsidRDefault="003F063C" w:rsidP="000B79AA">
      <w:pPr>
        <w:rPr>
          <w:rFonts w:cs="Arial"/>
          <w:szCs w:val="20"/>
        </w:rPr>
      </w:pPr>
      <w:r w:rsidRPr="00E9653B">
        <w:rPr>
          <w:rFonts w:cs="Arial"/>
          <w:szCs w:val="20"/>
        </w:rPr>
        <w:t xml:space="preserve">Strategie opencard pro rok 2010 se zaměřuje na </w:t>
      </w:r>
      <w:r>
        <w:rPr>
          <w:rFonts w:cs="Arial"/>
          <w:b/>
          <w:szCs w:val="20"/>
        </w:rPr>
        <w:t>vytvoření podmínek pro využití obchodního potenciálu projektu, tj. zejména p</w:t>
      </w:r>
      <w:r w:rsidRPr="00E9653B">
        <w:rPr>
          <w:rFonts w:cs="Arial"/>
          <w:b/>
          <w:szCs w:val="20"/>
        </w:rPr>
        <w:t>osílení kmene držitelů</w:t>
      </w:r>
      <w:r w:rsidRPr="00E9653B">
        <w:rPr>
          <w:rFonts w:cs="Arial"/>
          <w:szCs w:val="20"/>
        </w:rPr>
        <w:t>,</w:t>
      </w:r>
      <w:r>
        <w:rPr>
          <w:rFonts w:cs="Arial"/>
          <w:b/>
          <w:szCs w:val="20"/>
        </w:rPr>
        <w:t xml:space="preserve"> jeho zhodnocení </w:t>
      </w:r>
      <w:r w:rsidRPr="00E9653B">
        <w:rPr>
          <w:rFonts w:cs="Arial"/>
          <w:szCs w:val="20"/>
        </w:rPr>
        <w:t xml:space="preserve">a přípravu podmínek pro </w:t>
      </w:r>
      <w:r w:rsidRPr="00E9653B">
        <w:rPr>
          <w:rFonts w:cs="Arial"/>
          <w:b/>
          <w:szCs w:val="20"/>
        </w:rPr>
        <w:t>vstup strategického partnera</w:t>
      </w:r>
      <w:r w:rsidRPr="00E9653B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:rsidR="003F063C" w:rsidRPr="00E9653B" w:rsidRDefault="003F063C" w:rsidP="000B79AA">
      <w:pPr>
        <w:rPr>
          <w:rFonts w:cs="Arial"/>
          <w:szCs w:val="20"/>
        </w:rPr>
      </w:pPr>
      <w:r>
        <w:rPr>
          <w:rFonts w:cs="Arial"/>
          <w:szCs w:val="20"/>
        </w:rPr>
        <w:t xml:space="preserve">Cílem projektu je </w:t>
      </w:r>
      <w:r w:rsidRPr="00096128">
        <w:rPr>
          <w:rFonts w:cs="Arial"/>
          <w:b/>
          <w:szCs w:val="20"/>
        </w:rPr>
        <w:t>dosáhnout vyrovnaného</w:t>
      </w:r>
      <w:r>
        <w:rPr>
          <w:rFonts w:cs="Arial"/>
          <w:b/>
          <w:szCs w:val="20"/>
        </w:rPr>
        <w:t>, resp. přebytkového</w:t>
      </w:r>
      <w:r w:rsidRPr="00096128">
        <w:rPr>
          <w:rFonts w:cs="Arial"/>
          <w:b/>
          <w:szCs w:val="20"/>
        </w:rPr>
        <w:t xml:space="preserve"> hospodaření a financovat svůj pr</w:t>
      </w:r>
      <w:r w:rsidRPr="00E9653B">
        <w:rPr>
          <w:rFonts w:cs="Arial"/>
          <w:b/>
          <w:szCs w:val="20"/>
        </w:rPr>
        <w:t>ovoz a</w:t>
      </w:r>
      <w:r>
        <w:rPr>
          <w:rFonts w:cs="Arial"/>
          <w:b/>
          <w:szCs w:val="20"/>
        </w:rPr>
        <w:t> </w:t>
      </w:r>
      <w:r w:rsidRPr="00E9653B">
        <w:rPr>
          <w:rFonts w:cs="Arial"/>
          <w:b/>
          <w:szCs w:val="20"/>
        </w:rPr>
        <w:t>rozvoj z vlastních výnosů</w:t>
      </w:r>
      <w:r>
        <w:rPr>
          <w:rFonts w:cs="Arial"/>
          <w:szCs w:val="20"/>
        </w:rPr>
        <w:t xml:space="preserve"> v co nejkratším čase. Dalším cílem je </w:t>
      </w:r>
      <w:r w:rsidRPr="00867446">
        <w:rPr>
          <w:rFonts w:cs="Arial"/>
          <w:b/>
          <w:szCs w:val="20"/>
        </w:rPr>
        <w:t xml:space="preserve">zavedení nových služeb a benefitů, které významně podpoří její atraktivitu a hodnotu </w:t>
      </w:r>
      <w:r>
        <w:rPr>
          <w:rFonts w:cs="Arial"/>
          <w:b/>
          <w:szCs w:val="20"/>
        </w:rPr>
        <w:t>vnímanou držiteli</w:t>
      </w:r>
      <w:r w:rsidRPr="00867446">
        <w:rPr>
          <w:rFonts w:cs="Arial"/>
          <w:b/>
          <w:szCs w:val="20"/>
        </w:rPr>
        <w:t xml:space="preserve"> karty</w:t>
      </w:r>
      <w:r>
        <w:rPr>
          <w:rFonts w:cs="Arial"/>
          <w:szCs w:val="20"/>
        </w:rPr>
        <w:t>.</w:t>
      </w:r>
    </w:p>
    <w:p w:rsidR="003F063C" w:rsidRDefault="003F063C" w:rsidP="000B79AA">
      <w:pPr>
        <w:spacing w:after="120"/>
        <w:rPr>
          <w:rFonts w:cs="Arial"/>
          <w:szCs w:val="20"/>
        </w:rPr>
      </w:pPr>
      <w:r w:rsidRPr="00E9653B">
        <w:rPr>
          <w:rFonts w:cs="Arial"/>
          <w:szCs w:val="20"/>
        </w:rPr>
        <w:t xml:space="preserve">Záměr předkládá </w:t>
      </w:r>
      <w:r w:rsidRPr="00E9653B">
        <w:rPr>
          <w:rFonts w:cs="Arial"/>
          <w:b/>
          <w:szCs w:val="20"/>
        </w:rPr>
        <w:t>řešení</w:t>
      </w:r>
      <w:r>
        <w:rPr>
          <w:rStyle w:val="FootnoteReference"/>
          <w:rFonts w:cs="Arial"/>
          <w:b/>
          <w:szCs w:val="20"/>
        </w:rPr>
        <w:footnoteReference w:id="1"/>
      </w:r>
      <w:r w:rsidRPr="00E9653B">
        <w:rPr>
          <w:rFonts w:cs="Arial"/>
          <w:szCs w:val="20"/>
        </w:rPr>
        <w:t xml:space="preserve"> spočívající v  </w:t>
      </w:r>
      <w:r w:rsidRPr="00E9653B">
        <w:rPr>
          <w:rFonts w:cs="Arial"/>
          <w:b/>
          <w:szCs w:val="20"/>
        </w:rPr>
        <w:t>převodu řízení a odpovědnosti za projekt opencard na nově vzniklou dceřinou společnost Dopravního podniku hl.</w:t>
      </w:r>
      <w:r>
        <w:rPr>
          <w:rFonts w:cs="Arial"/>
          <w:b/>
          <w:szCs w:val="20"/>
        </w:rPr>
        <w:t xml:space="preserve"> </w:t>
      </w:r>
      <w:r w:rsidRPr="00E9653B">
        <w:rPr>
          <w:rFonts w:cs="Arial"/>
          <w:b/>
          <w:szCs w:val="20"/>
        </w:rPr>
        <w:t>m. Prahy, a.s. (</w:t>
      </w:r>
      <w:r>
        <w:rPr>
          <w:rFonts w:cs="Arial"/>
          <w:b/>
          <w:szCs w:val="20"/>
        </w:rPr>
        <w:t>DPHMP</w:t>
      </w:r>
      <w:r w:rsidRPr="00E9653B">
        <w:rPr>
          <w:rFonts w:cs="Arial"/>
          <w:b/>
          <w:szCs w:val="20"/>
        </w:rPr>
        <w:t xml:space="preserve">) </w:t>
      </w:r>
      <w:r>
        <w:rPr>
          <w:rFonts w:cs="Arial"/>
          <w:b/>
          <w:szCs w:val="20"/>
        </w:rPr>
        <w:t>s jeho majoritní účastí</w:t>
      </w:r>
      <w:r w:rsidRPr="00E9653B">
        <w:rPr>
          <w:rFonts w:cs="Arial"/>
          <w:szCs w:val="20"/>
        </w:rPr>
        <w:t xml:space="preserve">. Nová společnost bude plně odpovědná za provoz a rozvoj projektu včetně zajištění potřebného financování mimo rozpočet MHMP.  </w:t>
      </w:r>
    </w:p>
    <w:p w:rsidR="003F063C" w:rsidRPr="00212CCE" w:rsidRDefault="003F063C" w:rsidP="000B79AA">
      <w:pPr>
        <w:spacing w:after="120"/>
      </w:pPr>
      <w:r w:rsidRPr="00212CCE">
        <w:t xml:space="preserve">Strategie opencard pro rok 2010 sleduje </w:t>
      </w:r>
      <w:r w:rsidRPr="002514D3">
        <w:rPr>
          <w:b/>
        </w:rPr>
        <w:t>tři hlavní cíle</w:t>
      </w:r>
      <w:r>
        <w:t>:</w:t>
      </w:r>
    </w:p>
    <w:tbl>
      <w:tblPr>
        <w:tblW w:w="10490" w:type="dxa"/>
        <w:tblInd w:w="70" w:type="dxa"/>
        <w:tblBorders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7797"/>
        <w:gridCol w:w="1559"/>
      </w:tblGrid>
      <w:tr w:rsidR="003F063C" w:rsidRPr="009911F4">
        <w:trPr>
          <w:trHeight w:val="193"/>
        </w:trPr>
        <w:tc>
          <w:tcPr>
            <w:tcW w:w="8931" w:type="dxa"/>
            <w:gridSpan w:val="2"/>
            <w:tcBorders>
              <w:top w:val="nil"/>
              <w:right w:val="nil"/>
            </w:tcBorders>
            <w:shd w:val="clear" w:color="auto" w:fill="76923C"/>
            <w:vAlign w:val="center"/>
          </w:tcPr>
          <w:p w:rsidR="003F063C" w:rsidRPr="009911F4" w:rsidRDefault="003F063C" w:rsidP="00184A4C">
            <w:pPr>
              <w:pStyle w:val="ColorfulList-Accent11"/>
              <w:numPr>
                <w:ilvl w:val="0"/>
                <w:numId w:val="9"/>
              </w:numPr>
              <w:spacing w:before="0" w:after="0"/>
              <w:jc w:val="left"/>
              <w:rPr>
                <w:b/>
                <w:color w:val="FFFFFF"/>
                <w:sz w:val="16"/>
                <w:szCs w:val="16"/>
              </w:rPr>
            </w:pPr>
            <w:r w:rsidRPr="00212C9C">
              <w:rPr>
                <w:b/>
                <w:color w:val="FFFFFF"/>
              </w:rPr>
              <w:t>Materializovat investici MHMP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17365D"/>
          </w:tcPr>
          <w:p w:rsidR="003F063C" w:rsidRPr="009911F4" w:rsidRDefault="003F063C" w:rsidP="000B79AA">
            <w:pPr>
              <w:spacing w:before="0" w:after="0"/>
              <w:ind w:left="-70" w:right="-70"/>
              <w:jc w:val="left"/>
              <w:rPr>
                <w:b/>
                <w:sz w:val="16"/>
                <w:szCs w:val="16"/>
              </w:rPr>
            </w:pPr>
            <w:r w:rsidRPr="009104EE">
              <w:rPr>
                <w:b/>
                <w:noProof/>
                <w:sz w:val="16"/>
                <w:szCs w:val="16"/>
                <w:lang w:eastAsia="cs-CZ"/>
              </w:rPr>
              <w:pict>
                <v:shape id="_x0000_i1026" type="#_x0000_t75" alt="dreamstime_1673822" style="width:78pt;height:21pt;visibility:visible">
                  <v:imagedata r:id="rId8" o:title=""/>
                </v:shape>
              </w:pict>
            </w:r>
          </w:p>
        </w:tc>
      </w:tr>
      <w:tr w:rsidR="003F063C" w:rsidRPr="009911F4">
        <w:trPr>
          <w:trHeight w:val="219"/>
        </w:trPr>
        <w:tc>
          <w:tcPr>
            <w:tcW w:w="1134" w:type="dxa"/>
            <w:shd w:val="clear" w:color="auto" w:fill="FFFFCC"/>
            <w:vAlign w:val="center"/>
          </w:tcPr>
          <w:p w:rsidR="003F063C" w:rsidRPr="009911F4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9911F4">
              <w:rPr>
                <w:b/>
                <w:sz w:val="16"/>
                <w:szCs w:val="16"/>
              </w:rPr>
              <w:t>Náplň</w:t>
            </w:r>
          </w:p>
        </w:tc>
        <w:tc>
          <w:tcPr>
            <w:tcW w:w="9356" w:type="dxa"/>
            <w:gridSpan w:val="2"/>
            <w:shd w:val="clear" w:color="auto" w:fill="F2F2F2"/>
            <w:vAlign w:val="center"/>
          </w:tcPr>
          <w:p w:rsidR="003F063C" w:rsidRPr="009911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Převod </w:t>
            </w:r>
            <w:r w:rsidRPr="009911F4">
              <w:rPr>
                <w:b/>
                <w:sz w:val="16"/>
                <w:szCs w:val="16"/>
              </w:rPr>
              <w:t>držitelů</w:t>
            </w:r>
            <w:r>
              <w:rPr>
                <w:sz w:val="16"/>
                <w:szCs w:val="16"/>
              </w:rPr>
              <w:t xml:space="preserve"> opencard</w:t>
            </w:r>
            <w:r w:rsidRPr="009911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 DPHMP</w:t>
            </w:r>
            <w:r w:rsidRPr="00134077">
              <w:rPr>
                <w:sz w:val="16"/>
                <w:szCs w:val="16"/>
              </w:rPr>
              <w:t>, respektive dceřiné společnosti</w:t>
            </w:r>
            <w:r w:rsidRPr="009911F4">
              <w:rPr>
                <w:sz w:val="16"/>
                <w:szCs w:val="16"/>
              </w:rPr>
              <w:t>.</w:t>
            </w:r>
          </w:p>
          <w:p w:rsidR="003F063C" w:rsidRPr="009911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 xml:space="preserve">Vytvoření </w:t>
            </w:r>
            <w:r w:rsidRPr="009911F4">
              <w:rPr>
                <w:b/>
                <w:sz w:val="16"/>
                <w:szCs w:val="16"/>
              </w:rPr>
              <w:t xml:space="preserve">dceřiné společnosti DPHMP </w:t>
            </w:r>
            <w:r>
              <w:rPr>
                <w:b/>
                <w:sz w:val="16"/>
                <w:szCs w:val="16"/>
              </w:rPr>
              <w:t>s jeho majoritní účastí.</w:t>
            </w:r>
          </w:p>
          <w:p w:rsidR="003F063C" w:rsidRPr="009911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>Př</w:t>
            </w:r>
            <w:r>
              <w:rPr>
                <w:sz w:val="16"/>
                <w:szCs w:val="16"/>
              </w:rPr>
              <w:t xml:space="preserve">íprava </w:t>
            </w:r>
            <w:r w:rsidRPr="009911F4">
              <w:rPr>
                <w:sz w:val="16"/>
                <w:szCs w:val="16"/>
              </w:rPr>
              <w:t>podmín</w:t>
            </w:r>
            <w:r>
              <w:rPr>
                <w:sz w:val="16"/>
                <w:szCs w:val="16"/>
              </w:rPr>
              <w:t>ek</w:t>
            </w:r>
            <w:r w:rsidRPr="009911F4">
              <w:rPr>
                <w:sz w:val="16"/>
                <w:szCs w:val="16"/>
              </w:rPr>
              <w:t xml:space="preserve"> pro </w:t>
            </w:r>
            <w:r w:rsidRPr="009911F4">
              <w:rPr>
                <w:b/>
                <w:sz w:val="16"/>
                <w:szCs w:val="16"/>
              </w:rPr>
              <w:t>vstup strategického partnera</w:t>
            </w:r>
            <w:r w:rsidRPr="009911F4">
              <w:rPr>
                <w:sz w:val="16"/>
                <w:szCs w:val="16"/>
              </w:rPr>
              <w:t xml:space="preserve"> do projektu.</w:t>
            </w:r>
          </w:p>
        </w:tc>
      </w:tr>
      <w:tr w:rsidR="003F063C" w:rsidRPr="009911F4">
        <w:trPr>
          <w:trHeight w:val="219"/>
        </w:trPr>
        <w:tc>
          <w:tcPr>
            <w:tcW w:w="1134" w:type="dxa"/>
            <w:shd w:val="clear" w:color="auto" w:fill="FFFFCC"/>
            <w:vAlign w:val="center"/>
          </w:tcPr>
          <w:p w:rsidR="003F063C" w:rsidRPr="009911F4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9911F4">
              <w:rPr>
                <w:b/>
                <w:sz w:val="16"/>
                <w:szCs w:val="16"/>
              </w:rPr>
              <w:t>Výhody</w:t>
            </w:r>
          </w:p>
        </w:tc>
        <w:tc>
          <w:tcPr>
            <w:tcW w:w="9356" w:type="dxa"/>
            <w:gridSpan w:val="2"/>
            <w:shd w:val="clear" w:color="auto" w:fill="F2F2F2"/>
            <w:vAlign w:val="center"/>
          </w:tcPr>
          <w:p w:rsidR="003F063C" w:rsidRPr="009911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 xml:space="preserve">Zajištění </w:t>
            </w:r>
            <w:r w:rsidRPr="009911F4">
              <w:rPr>
                <w:b/>
                <w:sz w:val="16"/>
                <w:szCs w:val="16"/>
              </w:rPr>
              <w:t>výnosu z prodeje nehmotného aktiva</w:t>
            </w:r>
            <w:r w:rsidRPr="009911F4">
              <w:rPr>
                <w:sz w:val="16"/>
                <w:szCs w:val="16"/>
              </w:rPr>
              <w:t xml:space="preserve"> MHMP a tím umoření prvotní investice.</w:t>
            </w:r>
          </w:p>
          <w:p w:rsidR="003F063C" w:rsidRPr="009911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Pr="009911F4">
              <w:rPr>
                <w:b/>
                <w:sz w:val="16"/>
                <w:szCs w:val="16"/>
              </w:rPr>
              <w:t>ontrol</w:t>
            </w:r>
            <w:r>
              <w:rPr>
                <w:b/>
                <w:sz w:val="16"/>
                <w:szCs w:val="16"/>
              </w:rPr>
              <w:t>a MHMP</w:t>
            </w:r>
            <w:r w:rsidRPr="009911F4">
              <w:rPr>
                <w:b/>
                <w:sz w:val="16"/>
                <w:szCs w:val="16"/>
              </w:rPr>
              <w:t xml:space="preserve"> nad dalším směrováním projektu</w:t>
            </w:r>
            <w:r w:rsidRPr="009911F4">
              <w:rPr>
                <w:sz w:val="16"/>
                <w:szCs w:val="16"/>
              </w:rPr>
              <w:t xml:space="preserve"> (prostřednictvím DPHMP).</w:t>
            </w:r>
          </w:p>
          <w:p w:rsidR="003F063C" w:rsidRPr="009911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>Vyčlenění odpovědnosti za řízení provozu a rozvoje projektu mimo MHMP.</w:t>
            </w:r>
          </w:p>
          <w:p w:rsidR="003F063C" w:rsidRPr="009911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 xml:space="preserve">Další </w:t>
            </w:r>
            <w:r w:rsidRPr="009911F4">
              <w:rPr>
                <w:b/>
                <w:sz w:val="16"/>
                <w:szCs w:val="16"/>
              </w:rPr>
              <w:t>financování</w:t>
            </w:r>
            <w:r w:rsidRPr="009911F4">
              <w:rPr>
                <w:sz w:val="16"/>
                <w:szCs w:val="16"/>
              </w:rPr>
              <w:t xml:space="preserve"> provozu a rozvoje projektu </w:t>
            </w:r>
            <w:r w:rsidRPr="009911F4">
              <w:rPr>
                <w:b/>
                <w:sz w:val="16"/>
                <w:szCs w:val="16"/>
              </w:rPr>
              <w:t>mimo rozpočet MHMP</w:t>
            </w:r>
            <w:r w:rsidRPr="009911F4">
              <w:rPr>
                <w:sz w:val="16"/>
                <w:szCs w:val="16"/>
              </w:rPr>
              <w:t>.</w:t>
            </w:r>
          </w:p>
        </w:tc>
      </w:tr>
      <w:tr w:rsidR="003F063C" w:rsidRPr="005A3D68">
        <w:trPr>
          <w:trHeight w:val="232"/>
        </w:trPr>
        <w:tc>
          <w:tcPr>
            <w:tcW w:w="1134" w:type="dxa"/>
            <w:shd w:val="clear" w:color="auto" w:fill="FFFFCC"/>
            <w:vAlign w:val="center"/>
          </w:tcPr>
          <w:p w:rsidR="003F063C" w:rsidRPr="009911F4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9911F4">
              <w:rPr>
                <w:b/>
                <w:sz w:val="16"/>
                <w:szCs w:val="16"/>
              </w:rPr>
              <w:t>Rizika</w:t>
            </w:r>
          </w:p>
        </w:tc>
        <w:tc>
          <w:tcPr>
            <w:tcW w:w="9356" w:type="dxa"/>
            <w:gridSpan w:val="2"/>
            <w:shd w:val="clear" w:color="auto" w:fill="F2F2F2"/>
            <w:vAlign w:val="center"/>
          </w:tcPr>
          <w:p w:rsidR="003F063C" w:rsidRPr="009911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 xml:space="preserve">Převodem kmene držitelů opencard </w:t>
            </w:r>
            <w:r>
              <w:rPr>
                <w:sz w:val="16"/>
                <w:szCs w:val="16"/>
              </w:rPr>
              <w:t xml:space="preserve">pod </w:t>
            </w:r>
            <w:r w:rsidRPr="009911F4">
              <w:rPr>
                <w:sz w:val="16"/>
                <w:szCs w:val="16"/>
              </w:rPr>
              <w:t>DPHMP nastane situace, kdy bude DPHMP současně disponovat daty o používání karty opencard v dopravě a zároveň osobními údaji držitelů opencard. Situace může být Úřadem pro ochranu osobních údajů posuzována jako riziková z pohledu možného zneužití osobních údajů.</w:t>
            </w:r>
          </w:p>
        </w:tc>
      </w:tr>
      <w:tr w:rsidR="003F063C" w:rsidRPr="009911F4">
        <w:trPr>
          <w:trHeight w:val="232"/>
        </w:trPr>
        <w:tc>
          <w:tcPr>
            <w:tcW w:w="1134" w:type="dxa"/>
            <w:shd w:val="clear" w:color="auto" w:fill="FFFFCC"/>
            <w:vAlign w:val="center"/>
          </w:tcPr>
          <w:p w:rsidR="003F063C" w:rsidRPr="009911F4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9911F4">
              <w:rPr>
                <w:b/>
                <w:sz w:val="16"/>
                <w:szCs w:val="16"/>
              </w:rPr>
              <w:t>Hlavní úkoly</w:t>
            </w:r>
          </w:p>
        </w:tc>
        <w:tc>
          <w:tcPr>
            <w:tcW w:w="9356" w:type="dxa"/>
            <w:gridSpan w:val="2"/>
            <w:shd w:val="clear" w:color="auto" w:fill="F2F2F2"/>
            <w:vAlign w:val="center"/>
          </w:tcPr>
          <w:p w:rsidR="003F063C" w:rsidRPr="009911F4" w:rsidRDefault="003F063C" w:rsidP="000B79AA">
            <w:pPr>
              <w:spacing w:before="20" w:after="20"/>
              <w:ind w:left="68" w:hanging="68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>Připravit vznik nové společnosti včetně definice řídících struk</w:t>
            </w:r>
            <w:r>
              <w:rPr>
                <w:sz w:val="16"/>
                <w:szCs w:val="16"/>
              </w:rPr>
              <w:t>tur a přípravy obchodního plánu.</w:t>
            </w:r>
          </w:p>
          <w:p w:rsidR="003F063C" w:rsidRPr="00F86B88" w:rsidRDefault="003F063C" w:rsidP="000B79AA">
            <w:pPr>
              <w:spacing w:before="20" w:after="20"/>
              <w:ind w:left="68" w:hanging="68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>Nastavit majetkové podíly</w:t>
            </w:r>
            <w:r>
              <w:rPr>
                <w:sz w:val="16"/>
                <w:szCs w:val="16"/>
              </w:rPr>
              <w:t>.</w:t>
            </w:r>
          </w:p>
          <w:p w:rsidR="003F063C" w:rsidRPr="009911F4" w:rsidRDefault="003F063C" w:rsidP="000B79AA">
            <w:pPr>
              <w:spacing w:before="20" w:after="20"/>
              <w:ind w:left="68" w:hanging="68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>Připravit převod všech smluvních vztahů a závazků z MHMP na nově vzniklou společnost</w:t>
            </w:r>
            <w:r>
              <w:rPr>
                <w:sz w:val="16"/>
                <w:szCs w:val="16"/>
              </w:rPr>
              <w:t>.</w:t>
            </w:r>
          </w:p>
          <w:p w:rsidR="003F063C" w:rsidRPr="00F86B88" w:rsidRDefault="003F063C" w:rsidP="000B79AA">
            <w:pPr>
              <w:spacing w:before="20" w:after="20"/>
              <w:ind w:left="68" w:hanging="68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>Zajistit ocenění nehmotných aktiv MHMP určených k</w:t>
            </w:r>
            <w:r>
              <w:rPr>
                <w:sz w:val="16"/>
                <w:szCs w:val="16"/>
              </w:rPr>
              <w:t> </w:t>
            </w:r>
            <w:r w:rsidRPr="009911F4">
              <w:rPr>
                <w:sz w:val="16"/>
                <w:szCs w:val="16"/>
              </w:rPr>
              <w:t>prodeji</w:t>
            </w:r>
            <w:r>
              <w:rPr>
                <w:sz w:val="16"/>
                <w:szCs w:val="16"/>
              </w:rPr>
              <w:t>.</w:t>
            </w:r>
          </w:p>
          <w:p w:rsidR="003F063C" w:rsidRPr="009911F4" w:rsidRDefault="003F063C" w:rsidP="000B79AA">
            <w:pPr>
              <w:spacing w:before="20" w:after="20"/>
              <w:ind w:left="68" w:hanging="68"/>
              <w:jc w:val="left"/>
              <w:rPr>
                <w:sz w:val="16"/>
                <w:szCs w:val="16"/>
              </w:rPr>
            </w:pPr>
            <w:r w:rsidRPr="009911F4">
              <w:rPr>
                <w:sz w:val="16"/>
                <w:szCs w:val="16"/>
              </w:rPr>
              <w:t>Připravit a zajistit prodej nehmotných aktiv nově vzniklé společnosti.</w:t>
            </w:r>
          </w:p>
        </w:tc>
      </w:tr>
    </w:tbl>
    <w:p w:rsidR="003F063C" w:rsidRDefault="003F063C" w:rsidP="000B79AA">
      <w:pPr>
        <w:pStyle w:val="Bodytext"/>
        <w:spacing w:before="120" w:after="120"/>
        <w:ind w:left="720"/>
      </w:pPr>
    </w:p>
    <w:tbl>
      <w:tblPr>
        <w:tblW w:w="10490" w:type="dxa"/>
        <w:tblInd w:w="70" w:type="dxa"/>
        <w:tblBorders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7797"/>
        <w:gridCol w:w="1559"/>
      </w:tblGrid>
      <w:tr w:rsidR="003F063C" w:rsidRPr="001D406B">
        <w:trPr>
          <w:trHeight w:val="193"/>
        </w:trPr>
        <w:tc>
          <w:tcPr>
            <w:tcW w:w="8931" w:type="dxa"/>
            <w:gridSpan w:val="2"/>
            <w:shd w:val="clear" w:color="auto" w:fill="76923C"/>
            <w:vAlign w:val="center"/>
          </w:tcPr>
          <w:p w:rsidR="003F063C" w:rsidRPr="0049546F" w:rsidRDefault="003F063C" w:rsidP="00184A4C">
            <w:pPr>
              <w:pStyle w:val="ColorfulList-Accent11"/>
              <w:numPr>
                <w:ilvl w:val="0"/>
                <w:numId w:val="9"/>
              </w:numPr>
              <w:spacing w:before="0" w:after="0"/>
              <w:jc w:val="left"/>
              <w:rPr>
                <w:b/>
                <w:color w:val="FFFFFF"/>
              </w:rPr>
            </w:pPr>
            <w:r w:rsidRPr="0049546F">
              <w:rPr>
                <w:b/>
                <w:color w:val="FFFFFF"/>
              </w:rPr>
              <w:t xml:space="preserve">Dokončit migraci časových kupónů </w:t>
            </w:r>
          </w:p>
        </w:tc>
        <w:tc>
          <w:tcPr>
            <w:tcW w:w="1559" w:type="dxa"/>
            <w:shd w:val="clear" w:color="auto" w:fill="17365D"/>
          </w:tcPr>
          <w:p w:rsidR="003F063C" w:rsidRPr="001D406B" w:rsidRDefault="003F063C" w:rsidP="000B79AA">
            <w:pPr>
              <w:spacing w:before="0" w:after="0"/>
              <w:ind w:left="-70"/>
              <w:jc w:val="left"/>
              <w:rPr>
                <w:b/>
              </w:rPr>
            </w:pPr>
            <w:r w:rsidRPr="009104EE">
              <w:rPr>
                <w:b/>
                <w:noProof/>
                <w:lang w:eastAsia="cs-CZ"/>
              </w:rPr>
              <w:pict>
                <v:shape id="Picture 2" o:spid="_x0000_i1027" type="#_x0000_t75" alt="el_jizdenka" style="width:74.25pt;height:23.25pt;visibility:visible">
                  <v:imagedata r:id="rId9" o:title=""/>
                </v:shape>
              </w:pict>
            </w:r>
          </w:p>
        </w:tc>
      </w:tr>
      <w:tr w:rsidR="003F063C" w:rsidRPr="001D406B">
        <w:trPr>
          <w:trHeight w:val="219"/>
        </w:trPr>
        <w:tc>
          <w:tcPr>
            <w:tcW w:w="1134" w:type="dxa"/>
            <w:shd w:val="clear" w:color="auto" w:fill="FFFFCC"/>
            <w:vAlign w:val="center"/>
          </w:tcPr>
          <w:p w:rsidR="003F063C" w:rsidRPr="004F2C7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4F2C7F">
              <w:rPr>
                <w:b/>
                <w:sz w:val="16"/>
                <w:szCs w:val="16"/>
              </w:rPr>
              <w:t>Náplň</w:t>
            </w:r>
          </w:p>
        </w:tc>
        <w:tc>
          <w:tcPr>
            <w:tcW w:w="9356" w:type="dxa"/>
            <w:gridSpan w:val="2"/>
            <w:shd w:val="clear" w:color="auto" w:fill="F2F2F2"/>
          </w:tcPr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F2C7F">
              <w:rPr>
                <w:sz w:val="16"/>
                <w:szCs w:val="16"/>
              </w:rPr>
              <w:t xml:space="preserve">V roce </w:t>
            </w:r>
            <w:r w:rsidRPr="004F2C7F">
              <w:rPr>
                <w:b/>
                <w:sz w:val="16"/>
                <w:szCs w:val="16"/>
              </w:rPr>
              <w:t>2010</w:t>
            </w:r>
            <w:r w:rsidRPr="004F2C7F">
              <w:rPr>
                <w:sz w:val="16"/>
                <w:szCs w:val="16"/>
              </w:rPr>
              <w:t xml:space="preserve"> převést </w:t>
            </w:r>
            <w:r w:rsidRPr="004F2C7F">
              <w:rPr>
                <w:b/>
                <w:bCs/>
                <w:sz w:val="16"/>
                <w:szCs w:val="16"/>
              </w:rPr>
              <w:t>260 – 300 tis</w:t>
            </w:r>
            <w:r w:rsidRPr="004F2C7F">
              <w:rPr>
                <w:sz w:val="16"/>
                <w:szCs w:val="16"/>
              </w:rPr>
              <w:t xml:space="preserve">. cestujících ve skupinách </w:t>
            </w:r>
            <w:r w:rsidRPr="004F2C7F">
              <w:rPr>
                <w:b/>
                <w:bCs/>
                <w:sz w:val="16"/>
                <w:szCs w:val="16"/>
              </w:rPr>
              <w:t>Dítě, Junior, Dospělý a Senior</w:t>
            </w:r>
            <w:r w:rsidRPr="004F2C7F">
              <w:rPr>
                <w:sz w:val="16"/>
                <w:szCs w:val="16"/>
              </w:rPr>
              <w:t xml:space="preserve"> na elektronické časové kupóny. </w:t>
            </w:r>
          </w:p>
          <w:p w:rsidR="003F063C" w:rsidRPr="004F2C7F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F2C7F">
              <w:rPr>
                <w:sz w:val="16"/>
                <w:szCs w:val="16"/>
              </w:rPr>
              <w:t xml:space="preserve">Ukončit prodej odpovídajících papírových časových kupónů ve dvou vlnách do </w:t>
            </w:r>
            <w:r w:rsidRPr="004F2C7F">
              <w:rPr>
                <w:b/>
                <w:bCs/>
                <w:sz w:val="16"/>
                <w:szCs w:val="16"/>
              </w:rPr>
              <w:t>listopadu 2010</w:t>
            </w:r>
            <w:r w:rsidRPr="004F2C7F">
              <w:rPr>
                <w:sz w:val="16"/>
                <w:szCs w:val="16"/>
              </w:rPr>
              <w:t>.</w:t>
            </w:r>
          </w:p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F2C7F">
              <w:rPr>
                <w:sz w:val="16"/>
                <w:szCs w:val="16"/>
              </w:rPr>
              <w:t xml:space="preserve">Do konce roku </w:t>
            </w:r>
            <w:r w:rsidRPr="004F2C7F">
              <w:rPr>
                <w:b/>
                <w:sz w:val="16"/>
                <w:szCs w:val="16"/>
              </w:rPr>
              <w:t>2011</w:t>
            </w:r>
            <w:r w:rsidRPr="004F2C7F">
              <w:rPr>
                <w:sz w:val="16"/>
                <w:szCs w:val="16"/>
              </w:rPr>
              <w:t xml:space="preserve"> převést zbývající tarifní skupiny cestujících (</w:t>
            </w:r>
            <w:r w:rsidRPr="004F2C7F">
              <w:rPr>
                <w:b/>
                <w:sz w:val="16"/>
                <w:szCs w:val="16"/>
              </w:rPr>
              <w:t>Student, cestující mimo pásmo P+0</w:t>
            </w:r>
            <w:r w:rsidRPr="004F2C7F">
              <w:rPr>
                <w:sz w:val="16"/>
                <w:szCs w:val="16"/>
              </w:rPr>
              <w:t>).</w:t>
            </w:r>
          </w:p>
          <w:p w:rsidR="003F063C" w:rsidRPr="004F2C7F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F2C7F">
              <w:rPr>
                <w:sz w:val="16"/>
                <w:szCs w:val="16"/>
              </w:rPr>
              <w:t>Vyřešit převod cestujících</w:t>
            </w:r>
            <w:r>
              <w:rPr>
                <w:sz w:val="16"/>
                <w:szCs w:val="16"/>
              </w:rPr>
              <w:t>,</w:t>
            </w:r>
            <w:r w:rsidRPr="004F2C7F">
              <w:rPr>
                <w:sz w:val="16"/>
                <w:szCs w:val="16"/>
              </w:rPr>
              <w:t xml:space="preserve"> na něž se v současnosti vztahuje </w:t>
            </w:r>
            <w:r w:rsidRPr="004F2C7F">
              <w:rPr>
                <w:b/>
                <w:sz w:val="16"/>
                <w:szCs w:val="16"/>
              </w:rPr>
              <w:t xml:space="preserve">bezplatná přeprava </w:t>
            </w:r>
            <w:r w:rsidRPr="004F2C7F">
              <w:rPr>
                <w:sz w:val="16"/>
                <w:szCs w:val="16"/>
              </w:rPr>
              <w:t xml:space="preserve">zejména s ohledem na plánované </w:t>
            </w:r>
            <w:r w:rsidRPr="00DB0B7A">
              <w:rPr>
                <w:b/>
                <w:sz w:val="16"/>
                <w:szCs w:val="16"/>
              </w:rPr>
              <w:t>zavedení turniketů</w:t>
            </w:r>
            <w:r w:rsidRPr="004F2C7F">
              <w:rPr>
                <w:sz w:val="16"/>
                <w:szCs w:val="16"/>
              </w:rPr>
              <w:t>.</w:t>
            </w:r>
          </w:p>
        </w:tc>
      </w:tr>
      <w:tr w:rsidR="003F063C" w:rsidRPr="001D406B">
        <w:trPr>
          <w:trHeight w:val="219"/>
        </w:trPr>
        <w:tc>
          <w:tcPr>
            <w:tcW w:w="1134" w:type="dxa"/>
            <w:shd w:val="clear" w:color="auto" w:fill="FFFFCC"/>
            <w:vAlign w:val="center"/>
          </w:tcPr>
          <w:p w:rsidR="003F063C" w:rsidRPr="004F2C7F" w:rsidRDefault="003F063C" w:rsidP="000B79AA">
            <w:pPr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4F2C7F">
              <w:rPr>
                <w:b/>
                <w:sz w:val="16"/>
                <w:szCs w:val="16"/>
              </w:rPr>
              <w:t>Výhody</w:t>
            </w:r>
          </w:p>
        </w:tc>
        <w:tc>
          <w:tcPr>
            <w:tcW w:w="9356" w:type="dxa"/>
            <w:gridSpan w:val="2"/>
            <w:shd w:val="clear" w:color="auto" w:fill="F2F2F2"/>
            <w:vAlign w:val="center"/>
          </w:tcPr>
          <w:p w:rsidR="003F063C" w:rsidRPr="004F2C7F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F2C7F">
              <w:rPr>
                <w:b/>
                <w:sz w:val="16"/>
                <w:szCs w:val="16"/>
              </w:rPr>
              <w:t>Posílení kmene</w:t>
            </w:r>
            <w:r w:rsidRPr="004F2C7F">
              <w:rPr>
                <w:sz w:val="16"/>
                <w:szCs w:val="16"/>
              </w:rPr>
              <w:t xml:space="preserve"> opencard o </w:t>
            </w:r>
            <w:r w:rsidRPr="004F2C7F">
              <w:rPr>
                <w:b/>
                <w:sz w:val="16"/>
                <w:szCs w:val="16"/>
              </w:rPr>
              <w:t>200 až 240 tisíc vydaných karet v roce 2010</w:t>
            </w:r>
          </w:p>
        </w:tc>
      </w:tr>
      <w:tr w:rsidR="003F063C" w:rsidRPr="00C0085F">
        <w:trPr>
          <w:trHeight w:val="232"/>
        </w:trPr>
        <w:tc>
          <w:tcPr>
            <w:tcW w:w="1134" w:type="dxa"/>
            <w:shd w:val="clear" w:color="auto" w:fill="FFFFCC"/>
            <w:vAlign w:val="center"/>
          </w:tcPr>
          <w:p w:rsidR="003F063C" w:rsidRPr="004F2C7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4F2C7F">
              <w:rPr>
                <w:b/>
                <w:sz w:val="16"/>
                <w:szCs w:val="16"/>
              </w:rPr>
              <w:t>Rizika</w:t>
            </w:r>
          </w:p>
        </w:tc>
        <w:tc>
          <w:tcPr>
            <w:tcW w:w="9356" w:type="dxa"/>
            <w:gridSpan w:val="2"/>
            <w:shd w:val="clear" w:color="auto" w:fill="F2F2F2"/>
          </w:tcPr>
          <w:p w:rsidR="003F063C" w:rsidRPr="004F2C7F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F2C7F">
              <w:rPr>
                <w:sz w:val="16"/>
                <w:szCs w:val="16"/>
              </w:rPr>
              <w:t>V případě, že nebude dokončena migrace všech skupin cestujících do konce roku 2011, bude ohrožen plánovaný termín zavedení turniketů v systému metra.</w:t>
            </w:r>
          </w:p>
          <w:p w:rsidR="003F063C" w:rsidRPr="004F2C7F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F2C7F">
              <w:rPr>
                <w:sz w:val="16"/>
                <w:szCs w:val="16"/>
              </w:rPr>
              <w:t xml:space="preserve">V případě, že nebude plán </w:t>
            </w:r>
            <w:r>
              <w:rPr>
                <w:sz w:val="16"/>
                <w:szCs w:val="16"/>
              </w:rPr>
              <w:t>migrace</w:t>
            </w:r>
            <w:r w:rsidRPr="004F2C7F">
              <w:rPr>
                <w:sz w:val="16"/>
                <w:szCs w:val="16"/>
              </w:rPr>
              <w:t xml:space="preserve"> a rozpočet schválen v rámci Q1 a komunikace na cílové s</w:t>
            </w:r>
            <w:r>
              <w:rPr>
                <w:sz w:val="16"/>
                <w:szCs w:val="16"/>
              </w:rPr>
              <w:t>kupiny zahájena v dubnu 2010 (s </w:t>
            </w:r>
            <w:r w:rsidRPr="004F2C7F">
              <w:rPr>
                <w:sz w:val="16"/>
                <w:szCs w:val="16"/>
              </w:rPr>
              <w:t>předstihem před prázdninami), hrozí zpoždění dokončení migrace.</w:t>
            </w:r>
          </w:p>
        </w:tc>
      </w:tr>
      <w:tr w:rsidR="003F063C" w:rsidRPr="001D406B">
        <w:trPr>
          <w:trHeight w:val="232"/>
        </w:trPr>
        <w:tc>
          <w:tcPr>
            <w:tcW w:w="1134" w:type="dxa"/>
            <w:shd w:val="clear" w:color="auto" w:fill="FFFFCC"/>
            <w:vAlign w:val="center"/>
          </w:tcPr>
          <w:p w:rsidR="003F063C" w:rsidRPr="004F2C7F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Hlavní úkoly</w:t>
            </w:r>
          </w:p>
        </w:tc>
        <w:tc>
          <w:tcPr>
            <w:tcW w:w="9356" w:type="dxa"/>
            <w:gridSpan w:val="2"/>
            <w:shd w:val="clear" w:color="auto" w:fill="F2F2F2"/>
          </w:tcPr>
          <w:p w:rsidR="003F063C" w:rsidRPr="004F2C7F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4F2C7F">
              <w:rPr>
                <w:sz w:val="16"/>
                <w:szCs w:val="16"/>
              </w:rPr>
              <w:t>ajistit zahájení příprav migrace (zahájení přípravn</w:t>
            </w:r>
            <w:r>
              <w:rPr>
                <w:sz w:val="16"/>
                <w:szCs w:val="16"/>
              </w:rPr>
              <w:t>é</w:t>
            </w:r>
            <w:r w:rsidRPr="004F2C7F">
              <w:rPr>
                <w:sz w:val="16"/>
                <w:szCs w:val="16"/>
              </w:rPr>
              <w:t xml:space="preserve"> fáze projektu, sestavení řídících struktur projektu, </w:t>
            </w:r>
            <w:r>
              <w:rPr>
                <w:sz w:val="16"/>
                <w:szCs w:val="16"/>
              </w:rPr>
              <w:t>příprava detailního plánu a </w:t>
            </w:r>
            <w:r w:rsidRPr="004F2C7F">
              <w:rPr>
                <w:sz w:val="16"/>
                <w:szCs w:val="16"/>
              </w:rPr>
              <w:t>jeho odsouhlasení všemi zúčastněnými partnery)</w:t>
            </w:r>
            <w:r>
              <w:rPr>
                <w:sz w:val="16"/>
                <w:szCs w:val="16"/>
              </w:rPr>
              <w:t>.</w:t>
            </w:r>
          </w:p>
          <w:p w:rsidR="003F063C" w:rsidRPr="004B5335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Zajistit financování projektu (přípravné i realizační fáze).</w:t>
            </w:r>
          </w:p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312E4">
              <w:rPr>
                <w:sz w:val="16"/>
                <w:szCs w:val="16"/>
              </w:rPr>
              <w:t>chválit zkrácení doby platnosti nově vydávaných karet z důvodu zajištění budoucích výnosů z poplatků za vydání (obnovu) karty.</w:t>
            </w:r>
          </w:p>
        </w:tc>
      </w:tr>
    </w:tbl>
    <w:p w:rsidR="003F063C" w:rsidRDefault="003F063C" w:rsidP="000B79AA">
      <w:pPr>
        <w:pStyle w:val="Bodytext"/>
        <w:spacing w:before="120" w:after="120"/>
        <w:ind w:left="720"/>
      </w:pPr>
    </w:p>
    <w:tbl>
      <w:tblPr>
        <w:tblW w:w="10490" w:type="dxa"/>
        <w:tblInd w:w="70" w:type="dxa"/>
        <w:tblBorders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7797"/>
        <w:gridCol w:w="1559"/>
      </w:tblGrid>
      <w:tr w:rsidR="003F063C" w:rsidRPr="001D406B">
        <w:trPr>
          <w:trHeight w:val="193"/>
        </w:trPr>
        <w:tc>
          <w:tcPr>
            <w:tcW w:w="8931" w:type="dxa"/>
            <w:gridSpan w:val="2"/>
            <w:shd w:val="clear" w:color="auto" w:fill="76923C"/>
            <w:vAlign w:val="center"/>
          </w:tcPr>
          <w:p w:rsidR="003F063C" w:rsidRPr="0049546F" w:rsidRDefault="003F063C" w:rsidP="00184A4C">
            <w:pPr>
              <w:pStyle w:val="ColorfulList-Accent11"/>
              <w:numPr>
                <w:ilvl w:val="0"/>
                <w:numId w:val="9"/>
              </w:numPr>
              <w:spacing w:before="0" w:after="0"/>
              <w:jc w:val="left"/>
              <w:rPr>
                <w:b/>
                <w:color w:val="FFFFFF"/>
              </w:rPr>
            </w:pPr>
            <w:r w:rsidRPr="0049546F">
              <w:rPr>
                <w:b/>
                <w:color w:val="FFFFFF"/>
              </w:rPr>
              <w:t>Zhodno</w:t>
            </w:r>
            <w:r>
              <w:rPr>
                <w:b/>
                <w:color w:val="FFFFFF"/>
              </w:rPr>
              <w:t>tit</w:t>
            </w:r>
            <w:r w:rsidRPr="0049546F">
              <w:rPr>
                <w:b/>
                <w:color w:val="FFFFFF"/>
              </w:rPr>
              <w:t xml:space="preserve"> kmen zavedením nových benefitů pro držitele </w:t>
            </w:r>
            <w:r>
              <w:rPr>
                <w:b/>
                <w:color w:val="FFFFFF"/>
              </w:rPr>
              <w:t>opencard</w:t>
            </w:r>
          </w:p>
        </w:tc>
        <w:tc>
          <w:tcPr>
            <w:tcW w:w="1559" w:type="dxa"/>
            <w:shd w:val="clear" w:color="auto" w:fill="17365D"/>
          </w:tcPr>
          <w:p w:rsidR="003F063C" w:rsidRPr="001D406B" w:rsidRDefault="003F063C" w:rsidP="000B79AA">
            <w:pPr>
              <w:spacing w:before="0" w:after="0"/>
              <w:ind w:left="-70" w:right="-70"/>
              <w:jc w:val="left"/>
              <w:rPr>
                <w:b/>
              </w:rPr>
            </w:pPr>
            <w:r w:rsidRPr="009104EE">
              <w:rPr>
                <w:b/>
                <w:noProof/>
                <w:lang w:eastAsia="cs-CZ"/>
              </w:rPr>
              <w:pict>
                <v:shape id="Picture 3" o:spid="_x0000_i1028" type="#_x0000_t75" alt="iStock_000001386449Large" style="width:77.25pt;height:17.25pt;visibility:visible">
                  <v:imagedata r:id="rId10" o:title=""/>
                </v:shape>
              </w:pict>
            </w:r>
          </w:p>
        </w:tc>
      </w:tr>
      <w:tr w:rsidR="003F063C" w:rsidRPr="001D406B">
        <w:trPr>
          <w:trHeight w:val="219"/>
        </w:trPr>
        <w:tc>
          <w:tcPr>
            <w:tcW w:w="1134" w:type="dxa"/>
            <w:shd w:val="clear" w:color="auto" w:fill="FFFFCC"/>
            <w:vAlign w:val="center"/>
          </w:tcPr>
          <w:p w:rsidR="003F063C" w:rsidRPr="008D6960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8D6960">
              <w:rPr>
                <w:b/>
                <w:sz w:val="16"/>
                <w:szCs w:val="16"/>
              </w:rPr>
              <w:t>Náplň</w:t>
            </w:r>
          </w:p>
        </w:tc>
        <w:tc>
          <w:tcPr>
            <w:tcW w:w="9356" w:type="dxa"/>
            <w:gridSpan w:val="2"/>
            <w:shd w:val="clear" w:color="auto" w:fill="F2F2F2"/>
          </w:tcPr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312E4">
              <w:rPr>
                <w:sz w:val="16"/>
                <w:szCs w:val="16"/>
              </w:rPr>
              <w:t xml:space="preserve">Zavedení </w:t>
            </w:r>
            <w:r w:rsidRPr="004312E4">
              <w:rPr>
                <w:b/>
                <w:sz w:val="16"/>
                <w:szCs w:val="16"/>
              </w:rPr>
              <w:t>bonusové funkce karty</w:t>
            </w:r>
            <w:r w:rsidRPr="004312E4">
              <w:rPr>
                <w:sz w:val="16"/>
                <w:szCs w:val="16"/>
              </w:rPr>
              <w:t xml:space="preserve"> – zajištění její akceptace jako slevové karty v síti obchodních partnerů s cílem zvýšit atraktivitu karty pro její držitele</w:t>
            </w:r>
            <w:r>
              <w:rPr>
                <w:sz w:val="16"/>
                <w:szCs w:val="16"/>
              </w:rPr>
              <w:t>.</w:t>
            </w:r>
          </w:p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212C9C">
              <w:rPr>
                <w:sz w:val="16"/>
                <w:szCs w:val="16"/>
              </w:rPr>
              <w:t xml:space="preserve">Vytvořit podmínky umožňující </w:t>
            </w:r>
            <w:r>
              <w:rPr>
                <w:sz w:val="16"/>
                <w:szCs w:val="16"/>
              </w:rPr>
              <w:t>prodej dat o chování kmene uživatelů</w:t>
            </w:r>
            <w:r w:rsidRPr="00212C9C">
              <w:rPr>
                <w:sz w:val="16"/>
                <w:szCs w:val="16"/>
              </w:rPr>
              <w:t xml:space="preserve"> obchodní</w:t>
            </w:r>
            <w:r>
              <w:rPr>
                <w:sz w:val="16"/>
                <w:szCs w:val="16"/>
              </w:rPr>
              <w:t>m</w:t>
            </w:r>
            <w:r w:rsidRPr="00212C9C">
              <w:rPr>
                <w:sz w:val="16"/>
                <w:szCs w:val="16"/>
              </w:rPr>
              <w:t xml:space="preserve"> partnerů</w:t>
            </w:r>
            <w:r>
              <w:rPr>
                <w:sz w:val="16"/>
                <w:szCs w:val="16"/>
              </w:rPr>
              <w:t>m</w:t>
            </w:r>
            <w:r w:rsidRPr="00212C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 marketingové a obchodní účely.</w:t>
            </w:r>
          </w:p>
        </w:tc>
      </w:tr>
      <w:tr w:rsidR="003F063C" w:rsidRPr="001D406B">
        <w:trPr>
          <w:trHeight w:val="219"/>
        </w:trPr>
        <w:tc>
          <w:tcPr>
            <w:tcW w:w="1134" w:type="dxa"/>
            <w:shd w:val="clear" w:color="auto" w:fill="FFFFCC"/>
            <w:vAlign w:val="center"/>
          </w:tcPr>
          <w:p w:rsidR="003F063C" w:rsidRPr="008D6960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8D6960">
              <w:rPr>
                <w:b/>
                <w:sz w:val="16"/>
                <w:szCs w:val="16"/>
              </w:rPr>
              <w:t>Výhody</w:t>
            </w:r>
          </w:p>
        </w:tc>
        <w:tc>
          <w:tcPr>
            <w:tcW w:w="9356" w:type="dxa"/>
            <w:gridSpan w:val="2"/>
            <w:shd w:val="clear" w:color="auto" w:fill="F2F2F2"/>
          </w:tcPr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Zvýšení</w:t>
            </w:r>
            <w:r w:rsidRPr="00E3769D">
              <w:rPr>
                <w:b/>
                <w:sz w:val="16"/>
                <w:szCs w:val="16"/>
              </w:rPr>
              <w:t xml:space="preserve"> atraktivit</w:t>
            </w:r>
            <w:r>
              <w:rPr>
                <w:b/>
                <w:sz w:val="16"/>
                <w:szCs w:val="16"/>
              </w:rPr>
              <w:t>y</w:t>
            </w:r>
            <w:r w:rsidRPr="00E3769D">
              <w:rPr>
                <w:b/>
                <w:sz w:val="16"/>
                <w:szCs w:val="16"/>
              </w:rPr>
              <w:t xml:space="preserve"> karty</w:t>
            </w:r>
            <w:r w:rsidRPr="004312E4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bude znamenat větší ochotu držitelů platit za její vydání nebo správu.</w:t>
            </w:r>
          </w:p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Podpoření </w:t>
            </w:r>
            <w:r w:rsidRPr="00E3769D">
              <w:rPr>
                <w:b/>
                <w:sz w:val="16"/>
                <w:szCs w:val="16"/>
              </w:rPr>
              <w:t>migrac</w:t>
            </w:r>
            <w:r>
              <w:rPr>
                <w:b/>
                <w:sz w:val="16"/>
                <w:szCs w:val="16"/>
              </w:rPr>
              <w:t xml:space="preserve">e </w:t>
            </w:r>
            <w:r w:rsidRPr="004312E4">
              <w:rPr>
                <w:sz w:val="16"/>
                <w:szCs w:val="16"/>
              </w:rPr>
              <w:t>cestujících na elektronické časové kupóny.</w:t>
            </w:r>
          </w:p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Generování </w:t>
            </w:r>
            <w:r w:rsidRPr="00E3769D">
              <w:rPr>
                <w:b/>
                <w:sz w:val="16"/>
                <w:szCs w:val="16"/>
              </w:rPr>
              <w:t>výnos</w:t>
            </w:r>
            <w:r>
              <w:rPr>
                <w:b/>
                <w:sz w:val="16"/>
                <w:szCs w:val="16"/>
              </w:rPr>
              <w:t>ů</w:t>
            </w:r>
            <w:r w:rsidRPr="00E3769D">
              <w:rPr>
                <w:b/>
                <w:sz w:val="16"/>
                <w:szCs w:val="16"/>
              </w:rPr>
              <w:t xml:space="preserve"> z poplatků </w:t>
            </w:r>
            <w:r w:rsidRPr="004312E4">
              <w:rPr>
                <w:sz w:val="16"/>
                <w:szCs w:val="16"/>
              </w:rPr>
              <w:t>za vydání a správu karty.</w:t>
            </w:r>
          </w:p>
          <w:p w:rsidR="003F063C" w:rsidRPr="009E6DEB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7E09A9">
              <w:rPr>
                <w:b/>
                <w:sz w:val="16"/>
                <w:szCs w:val="16"/>
              </w:rPr>
              <w:t>Výnosy z možného křížového prodej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ze strany strategického partnera po jeho vstupu do projektu.</w:t>
            </w:r>
          </w:p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Možnost </w:t>
            </w:r>
            <w:r w:rsidRPr="007E09A9">
              <w:rPr>
                <w:b/>
                <w:sz w:val="16"/>
                <w:szCs w:val="16"/>
              </w:rPr>
              <w:t>komerčního využití statistických dat o nákupním chování</w:t>
            </w:r>
            <w:r w:rsidRPr="004312E4">
              <w:rPr>
                <w:sz w:val="16"/>
                <w:szCs w:val="16"/>
              </w:rPr>
              <w:t xml:space="preserve"> držitelů opencard.</w:t>
            </w:r>
          </w:p>
        </w:tc>
      </w:tr>
      <w:tr w:rsidR="003F063C" w:rsidRPr="001D406B">
        <w:trPr>
          <w:trHeight w:val="232"/>
        </w:trPr>
        <w:tc>
          <w:tcPr>
            <w:tcW w:w="1134" w:type="dxa"/>
            <w:shd w:val="clear" w:color="auto" w:fill="FFFFCC"/>
            <w:vAlign w:val="center"/>
          </w:tcPr>
          <w:p w:rsidR="003F063C" w:rsidRPr="008D6960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8D6960">
              <w:rPr>
                <w:b/>
                <w:sz w:val="16"/>
                <w:szCs w:val="16"/>
              </w:rPr>
              <w:t>Rizika</w:t>
            </w:r>
          </w:p>
        </w:tc>
        <w:tc>
          <w:tcPr>
            <w:tcW w:w="9356" w:type="dxa"/>
            <w:gridSpan w:val="2"/>
            <w:shd w:val="clear" w:color="auto" w:fill="F2F2F2"/>
          </w:tcPr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312E4">
              <w:rPr>
                <w:sz w:val="16"/>
                <w:szCs w:val="16"/>
              </w:rPr>
              <w:t xml:space="preserve">Pokud nebude zavedení nového obchodního partnera jednoduché z pohledu nároků na uzavření smluvního vztahu </w:t>
            </w:r>
            <w:r>
              <w:rPr>
                <w:sz w:val="16"/>
                <w:szCs w:val="16"/>
              </w:rPr>
              <w:t xml:space="preserve">a vybavení akceptačního místa, </w:t>
            </w:r>
            <w:r w:rsidRPr="004312E4">
              <w:rPr>
                <w:sz w:val="16"/>
                <w:szCs w:val="16"/>
              </w:rPr>
              <w:t xml:space="preserve">hrozí, že se nepodaří rychle vybudovat a zajistit kvalitní akceptační síť.  </w:t>
            </w:r>
          </w:p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312E4">
              <w:rPr>
                <w:sz w:val="16"/>
                <w:szCs w:val="16"/>
              </w:rPr>
              <w:t xml:space="preserve">Model </w:t>
            </w:r>
            <w:r>
              <w:rPr>
                <w:sz w:val="16"/>
                <w:szCs w:val="16"/>
              </w:rPr>
              <w:t>křížového prodeje</w:t>
            </w:r>
            <w:r w:rsidRPr="004312E4">
              <w:rPr>
                <w:sz w:val="16"/>
                <w:szCs w:val="16"/>
              </w:rPr>
              <w:t xml:space="preserve"> je potřeba připravit tak, aby nenastalo riziko porušení podmínek ochrany osobních údajů.</w:t>
            </w:r>
          </w:p>
        </w:tc>
      </w:tr>
      <w:tr w:rsidR="003F063C" w:rsidRPr="001D406B">
        <w:trPr>
          <w:trHeight w:val="232"/>
        </w:trPr>
        <w:tc>
          <w:tcPr>
            <w:tcW w:w="1134" w:type="dxa"/>
            <w:shd w:val="clear" w:color="auto" w:fill="FFFFCC"/>
            <w:vAlign w:val="center"/>
          </w:tcPr>
          <w:p w:rsidR="003F063C" w:rsidRPr="008D6960" w:rsidRDefault="003F063C" w:rsidP="000B79AA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Hlavní úkoly</w:t>
            </w:r>
          </w:p>
        </w:tc>
        <w:tc>
          <w:tcPr>
            <w:tcW w:w="9356" w:type="dxa"/>
            <w:gridSpan w:val="2"/>
            <w:shd w:val="clear" w:color="auto" w:fill="F2F2F2"/>
          </w:tcPr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312E4">
              <w:rPr>
                <w:sz w:val="16"/>
                <w:szCs w:val="16"/>
              </w:rPr>
              <w:t>Vypracovat obchodní plán</w:t>
            </w:r>
            <w:r>
              <w:rPr>
                <w:sz w:val="16"/>
                <w:szCs w:val="16"/>
              </w:rPr>
              <w:t xml:space="preserve"> </w:t>
            </w:r>
            <w:r w:rsidRPr="004312E4">
              <w:rPr>
                <w:sz w:val="16"/>
                <w:szCs w:val="16"/>
              </w:rPr>
              <w:t>(obchodní a ekonomický model)</w:t>
            </w:r>
            <w:r>
              <w:rPr>
                <w:sz w:val="16"/>
                <w:szCs w:val="16"/>
              </w:rPr>
              <w:t>.</w:t>
            </w:r>
          </w:p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312E4">
              <w:rPr>
                <w:sz w:val="16"/>
                <w:szCs w:val="16"/>
              </w:rPr>
              <w:t>Vypracovat projektový plán a časový harmo</w:t>
            </w:r>
            <w:r>
              <w:rPr>
                <w:sz w:val="16"/>
                <w:szCs w:val="16"/>
              </w:rPr>
              <w:t>nogram zavedení nových benefitů.</w:t>
            </w:r>
          </w:p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312E4">
              <w:rPr>
                <w:sz w:val="16"/>
                <w:szCs w:val="16"/>
              </w:rPr>
              <w:t>Ověř</w:t>
            </w:r>
            <w:r>
              <w:rPr>
                <w:sz w:val="16"/>
                <w:szCs w:val="16"/>
              </w:rPr>
              <w:t>it obchodní potenciál</w:t>
            </w:r>
            <w:r w:rsidRPr="004312E4">
              <w:rPr>
                <w:sz w:val="16"/>
                <w:szCs w:val="16"/>
              </w:rPr>
              <w:t xml:space="preserve"> – poč</w:t>
            </w:r>
            <w:r>
              <w:rPr>
                <w:sz w:val="16"/>
                <w:szCs w:val="16"/>
              </w:rPr>
              <w:t xml:space="preserve">et </w:t>
            </w:r>
            <w:r w:rsidRPr="004312E4">
              <w:rPr>
                <w:sz w:val="16"/>
                <w:szCs w:val="16"/>
              </w:rPr>
              <w:t>a ochot</w:t>
            </w:r>
            <w:r>
              <w:rPr>
                <w:sz w:val="16"/>
                <w:szCs w:val="16"/>
              </w:rPr>
              <w:t>u</w:t>
            </w:r>
            <w:r w:rsidRPr="004312E4">
              <w:rPr>
                <w:sz w:val="16"/>
                <w:szCs w:val="16"/>
              </w:rPr>
              <w:t xml:space="preserve"> obchodních partnerů ak</w:t>
            </w:r>
            <w:r>
              <w:rPr>
                <w:sz w:val="16"/>
                <w:szCs w:val="16"/>
              </w:rPr>
              <w:t>ceptovat opencard jako slevovou kartu.</w:t>
            </w:r>
          </w:p>
          <w:p w:rsidR="003F063C" w:rsidRPr="004312E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4312E4">
              <w:rPr>
                <w:sz w:val="16"/>
                <w:szCs w:val="16"/>
              </w:rPr>
              <w:t>Vypracov</w:t>
            </w:r>
            <w:r>
              <w:rPr>
                <w:sz w:val="16"/>
                <w:szCs w:val="16"/>
              </w:rPr>
              <w:t>at</w:t>
            </w:r>
            <w:r w:rsidRPr="004312E4">
              <w:rPr>
                <w:sz w:val="16"/>
                <w:szCs w:val="16"/>
              </w:rPr>
              <w:t xml:space="preserve"> rámcov</w:t>
            </w:r>
            <w:r>
              <w:rPr>
                <w:sz w:val="16"/>
                <w:szCs w:val="16"/>
              </w:rPr>
              <w:t>é obchodní</w:t>
            </w:r>
            <w:r w:rsidRPr="004312E4">
              <w:rPr>
                <w:sz w:val="16"/>
                <w:szCs w:val="16"/>
              </w:rPr>
              <w:t xml:space="preserve"> podmín</w:t>
            </w:r>
            <w:r>
              <w:rPr>
                <w:sz w:val="16"/>
                <w:szCs w:val="16"/>
              </w:rPr>
              <w:t>ky</w:t>
            </w:r>
            <w:r w:rsidRPr="004312E4">
              <w:rPr>
                <w:sz w:val="16"/>
                <w:szCs w:val="16"/>
              </w:rPr>
              <w:t xml:space="preserve"> a jej</w:t>
            </w:r>
            <w:r>
              <w:rPr>
                <w:sz w:val="16"/>
                <w:szCs w:val="16"/>
              </w:rPr>
              <w:t xml:space="preserve">ich předběžné právní </w:t>
            </w:r>
            <w:r w:rsidRPr="004312E4">
              <w:rPr>
                <w:sz w:val="16"/>
                <w:szCs w:val="16"/>
              </w:rPr>
              <w:t>posouzení.</w:t>
            </w:r>
          </w:p>
        </w:tc>
      </w:tr>
    </w:tbl>
    <w:p w:rsidR="003F063C" w:rsidRPr="005D02B7" w:rsidRDefault="003F063C" w:rsidP="000B79AA">
      <w:pPr>
        <w:pStyle w:val="Heading1"/>
        <w:spacing w:before="120"/>
      </w:pPr>
      <w:r w:rsidRPr="005D02B7">
        <w:t>Ma</w:t>
      </w:r>
      <w:r>
        <w:t>terializace dosavadní investice MHMP</w:t>
      </w:r>
    </w:p>
    <w:p w:rsidR="003F063C" w:rsidRPr="005D02B7" w:rsidRDefault="003F063C" w:rsidP="000B79AA">
      <w:pPr>
        <w:pStyle w:val="Heading2"/>
        <w:spacing w:before="120"/>
      </w:pPr>
      <w:r>
        <w:t>Cíle</w:t>
      </w:r>
    </w:p>
    <w:p w:rsidR="003F063C" w:rsidRDefault="003F063C" w:rsidP="00424A0D">
      <w:pPr>
        <w:spacing w:before="240" w:after="240"/>
        <w:rPr>
          <w:rFonts w:cs="Arial"/>
          <w:szCs w:val="20"/>
        </w:rPr>
      </w:pPr>
      <w:r w:rsidRPr="00D322BC">
        <w:rPr>
          <w:rFonts w:cs="Arial"/>
          <w:b/>
          <w:bCs/>
          <w:iCs/>
          <w:szCs w:val="20"/>
        </w:rPr>
        <w:t>MHMP</w:t>
      </w:r>
      <w:r w:rsidRPr="00985F83">
        <w:rPr>
          <w:rFonts w:cs="Arial"/>
          <w:bCs/>
          <w:iCs/>
          <w:szCs w:val="20"/>
        </w:rPr>
        <w:t xml:space="preserve"> </w:t>
      </w:r>
      <w:r>
        <w:rPr>
          <w:rFonts w:cs="Arial"/>
          <w:b/>
          <w:bCs/>
          <w:iCs/>
          <w:szCs w:val="20"/>
        </w:rPr>
        <w:t>zhodnotí</w:t>
      </w:r>
      <w:r w:rsidRPr="00E867E4">
        <w:rPr>
          <w:rFonts w:cs="Arial"/>
          <w:b/>
          <w:bCs/>
          <w:iCs/>
          <w:szCs w:val="20"/>
        </w:rPr>
        <w:t xml:space="preserve"> dosavadní investici do projektu opencar</w:t>
      </w:r>
      <w:r w:rsidRPr="00D02A16">
        <w:rPr>
          <w:rFonts w:cs="Arial"/>
          <w:b/>
          <w:bCs/>
          <w:iCs/>
          <w:szCs w:val="20"/>
        </w:rPr>
        <w:t xml:space="preserve">d </w:t>
      </w:r>
      <w:r>
        <w:rPr>
          <w:rFonts w:cs="Arial"/>
          <w:b/>
          <w:bCs/>
          <w:iCs/>
          <w:szCs w:val="20"/>
        </w:rPr>
        <w:t xml:space="preserve">převodem </w:t>
      </w:r>
      <w:r w:rsidRPr="00D02A16">
        <w:rPr>
          <w:rFonts w:cs="Arial"/>
          <w:b/>
          <w:bCs/>
          <w:iCs/>
          <w:szCs w:val="20"/>
        </w:rPr>
        <w:t>kmen</w:t>
      </w:r>
      <w:r>
        <w:rPr>
          <w:rFonts w:cs="Arial"/>
          <w:b/>
          <w:bCs/>
          <w:iCs/>
          <w:szCs w:val="20"/>
        </w:rPr>
        <w:t>e</w:t>
      </w:r>
      <w:r w:rsidRPr="00E867E4">
        <w:rPr>
          <w:rFonts w:cs="Arial"/>
          <w:b/>
          <w:bCs/>
          <w:iCs/>
          <w:szCs w:val="20"/>
        </w:rPr>
        <w:t xml:space="preserve"> uživatelů</w:t>
      </w:r>
      <w:r w:rsidRPr="00985F83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pod nově vzniklou </w:t>
      </w:r>
      <w:r w:rsidRPr="00E9653B">
        <w:rPr>
          <w:rFonts w:cs="Arial"/>
          <w:b/>
          <w:szCs w:val="20"/>
        </w:rPr>
        <w:t>dceřinou společnost Dopravního podniku hl.</w:t>
      </w:r>
      <w:r>
        <w:rPr>
          <w:rFonts w:cs="Arial"/>
          <w:b/>
          <w:szCs w:val="20"/>
        </w:rPr>
        <w:t xml:space="preserve"> </w:t>
      </w:r>
      <w:r w:rsidRPr="00E9653B">
        <w:rPr>
          <w:rFonts w:cs="Arial"/>
          <w:b/>
          <w:szCs w:val="20"/>
        </w:rPr>
        <w:t>m. Prahy, a.s. (</w:t>
      </w:r>
      <w:r>
        <w:rPr>
          <w:rFonts w:cs="Arial"/>
          <w:b/>
          <w:szCs w:val="20"/>
        </w:rPr>
        <w:t>DPHMP</w:t>
      </w:r>
      <w:r w:rsidRPr="00E9653B">
        <w:rPr>
          <w:rFonts w:cs="Arial"/>
          <w:b/>
          <w:szCs w:val="20"/>
        </w:rPr>
        <w:t xml:space="preserve">) </w:t>
      </w:r>
      <w:r>
        <w:rPr>
          <w:rFonts w:cs="Arial"/>
          <w:b/>
          <w:szCs w:val="20"/>
        </w:rPr>
        <w:t>s jeho majoritní účastí</w:t>
      </w:r>
      <w:r w:rsidRPr="007445FB">
        <w:rPr>
          <w:rFonts w:cs="Arial"/>
          <w:bCs/>
          <w:iCs/>
          <w:szCs w:val="20"/>
        </w:rPr>
        <w:t>.</w:t>
      </w:r>
      <w:r w:rsidRPr="00985F83">
        <w:rPr>
          <w:rFonts w:cs="Arial"/>
          <w:bCs/>
          <w:iCs/>
          <w:szCs w:val="20"/>
        </w:rPr>
        <w:t xml:space="preserve"> Tím dojde rovněž k naplnění strategického cíle </w:t>
      </w:r>
      <w:r w:rsidRPr="00E867E4">
        <w:rPr>
          <w:rFonts w:cs="Arial"/>
          <w:b/>
          <w:bCs/>
          <w:iCs/>
          <w:szCs w:val="20"/>
        </w:rPr>
        <w:t>zajistit financování projektu ze zdrojů mimo rozpočet MHMP</w:t>
      </w:r>
      <w:r w:rsidRPr="00985F83">
        <w:rPr>
          <w:rFonts w:cs="Arial"/>
          <w:bCs/>
          <w:iCs/>
          <w:szCs w:val="20"/>
        </w:rPr>
        <w:t xml:space="preserve"> a otevře se tak cesta k </w:t>
      </w:r>
      <w:r w:rsidRPr="00E867E4">
        <w:rPr>
          <w:rFonts w:cs="Arial"/>
          <w:b/>
          <w:bCs/>
          <w:iCs/>
          <w:szCs w:val="20"/>
        </w:rPr>
        <w:t>rychlému rozvoji komerčních aplikací</w:t>
      </w:r>
      <w:r w:rsidRPr="00985F83">
        <w:rPr>
          <w:rFonts w:cs="Arial"/>
          <w:bCs/>
          <w:iCs/>
          <w:szCs w:val="20"/>
        </w:rPr>
        <w:t xml:space="preserve"> opencard.</w:t>
      </w:r>
      <w:r>
        <w:rPr>
          <w:rFonts w:cs="Arial"/>
          <w:bCs/>
          <w:iCs/>
          <w:szCs w:val="20"/>
        </w:rPr>
        <w:t xml:space="preserve"> </w:t>
      </w:r>
      <w:r w:rsidRPr="00985F83">
        <w:rPr>
          <w:rFonts w:cs="Arial"/>
          <w:bCs/>
          <w:iCs/>
          <w:szCs w:val="20"/>
        </w:rPr>
        <w:t xml:space="preserve">Vytvoří se </w:t>
      </w:r>
      <w:r w:rsidRPr="00E867E4">
        <w:rPr>
          <w:rFonts w:cs="Arial"/>
          <w:b/>
          <w:bCs/>
          <w:iCs/>
          <w:szCs w:val="20"/>
        </w:rPr>
        <w:t>předpoklady pro vstup strategického partnera</w:t>
      </w:r>
      <w:r w:rsidRPr="00985F83">
        <w:rPr>
          <w:rFonts w:cs="Arial"/>
          <w:bCs/>
          <w:iCs/>
          <w:szCs w:val="20"/>
        </w:rPr>
        <w:t>.</w:t>
      </w:r>
      <w:r>
        <w:rPr>
          <w:rFonts w:cs="Arial"/>
          <w:bCs/>
          <w:iCs/>
          <w:szCs w:val="20"/>
        </w:rPr>
        <w:t xml:space="preserve"> </w:t>
      </w:r>
      <w:r w:rsidRPr="00E867E4">
        <w:rPr>
          <w:rFonts w:cs="Arial"/>
          <w:b/>
          <w:bCs/>
          <w:iCs/>
          <w:szCs w:val="20"/>
        </w:rPr>
        <w:t>MHMP si udrží kontrolu nad projektem</w:t>
      </w:r>
      <w:r>
        <w:rPr>
          <w:rFonts w:cs="Arial"/>
          <w:bCs/>
          <w:iCs/>
          <w:szCs w:val="20"/>
        </w:rPr>
        <w:t xml:space="preserve"> prostřednictvím </w:t>
      </w:r>
      <w:r w:rsidRPr="00985F83">
        <w:rPr>
          <w:rFonts w:cs="Arial"/>
          <w:szCs w:val="20"/>
        </w:rPr>
        <w:t>většinového podílu DPHMP ve společnosti opencard</w:t>
      </w:r>
      <w:r>
        <w:rPr>
          <w:rFonts w:cs="Arial"/>
          <w:szCs w:val="20"/>
        </w:rPr>
        <w:t>.</w:t>
      </w:r>
    </w:p>
    <w:p w:rsidR="003F063C" w:rsidRPr="005D02B7" w:rsidRDefault="003F063C" w:rsidP="000B79AA">
      <w:pPr>
        <w:pStyle w:val="Heading2"/>
        <w:spacing w:before="120"/>
      </w:pPr>
      <w:r>
        <w:t>Vznik obchodní společnosti, odprodej kmene a vstup strategického partnera</w:t>
      </w:r>
    </w:p>
    <w:p w:rsidR="003F063C" w:rsidRPr="009E6DEB" w:rsidRDefault="003F063C" w:rsidP="00424A0D">
      <w:pPr>
        <w:spacing w:before="240"/>
        <w:rPr>
          <w:rFonts w:ascii="Times New Roman" w:hAnsi="Times New Roman" w:cs="Arial"/>
          <w:bCs/>
          <w:iCs/>
          <w:szCs w:val="20"/>
        </w:rPr>
      </w:pPr>
      <w:r w:rsidRPr="00B475BD">
        <w:rPr>
          <w:rFonts w:cs="Arial"/>
          <w:b/>
          <w:bCs/>
          <w:iCs/>
          <w:szCs w:val="20"/>
        </w:rPr>
        <w:t>Obchodní společnost opencard založí DPHMP jako svou dceřinou společnost s </w:t>
      </w:r>
      <w:r>
        <w:rPr>
          <w:rFonts w:cs="Arial"/>
          <w:b/>
          <w:bCs/>
          <w:iCs/>
          <w:szCs w:val="20"/>
        </w:rPr>
        <w:t>majoritní majetkovou účastí DPHMP</w:t>
      </w:r>
      <w:r w:rsidRPr="007445FB">
        <w:rPr>
          <w:rFonts w:cs="Arial"/>
          <w:b/>
          <w:bCs/>
          <w:iCs/>
          <w:szCs w:val="20"/>
        </w:rPr>
        <w:t>.</w:t>
      </w:r>
      <w:r w:rsidRPr="007445FB">
        <w:rPr>
          <w:rFonts w:cs="Arial"/>
          <w:bCs/>
          <w:iCs/>
          <w:szCs w:val="20"/>
        </w:rPr>
        <w:t xml:space="preserve"> Obchodní podíl DPHMP bud</w:t>
      </w:r>
      <w:r>
        <w:rPr>
          <w:rFonts w:cs="Arial"/>
          <w:bCs/>
          <w:iCs/>
          <w:szCs w:val="20"/>
        </w:rPr>
        <w:t>e</w:t>
      </w:r>
      <w:r w:rsidRPr="007445FB">
        <w:rPr>
          <w:rFonts w:cs="Arial"/>
          <w:bCs/>
          <w:iCs/>
          <w:szCs w:val="20"/>
        </w:rPr>
        <w:t xml:space="preserve"> z</w:t>
      </w:r>
      <w:r w:rsidRPr="00B475BD">
        <w:rPr>
          <w:rFonts w:cs="Arial"/>
          <w:bCs/>
          <w:iCs/>
          <w:szCs w:val="20"/>
        </w:rPr>
        <w:t>aložen na základě nepeněžitého vkladu, v případě DPHMP (MHMP) půjde o</w:t>
      </w:r>
      <w:r>
        <w:rPr>
          <w:rFonts w:cs="Arial"/>
          <w:bCs/>
          <w:iCs/>
          <w:szCs w:val="20"/>
        </w:rPr>
        <w:t> </w:t>
      </w:r>
      <w:r w:rsidRPr="00B475BD">
        <w:rPr>
          <w:rFonts w:cs="Arial"/>
          <w:bCs/>
          <w:iCs/>
          <w:szCs w:val="20"/>
        </w:rPr>
        <w:t xml:space="preserve">ocenění kmene uživatelů a provozu aplikace DOS. </w:t>
      </w:r>
      <w:r>
        <w:rPr>
          <w:rFonts w:cs="Arial"/>
          <w:b/>
          <w:bCs/>
          <w:iCs/>
          <w:szCs w:val="20"/>
        </w:rPr>
        <w:t>V</w:t>
      </w:r>
      <w:r w:rsidRPr="00B475BD">
        <w:rPr>
          <w:rFonts w:cs="Arial"/>
          <w:b/>
          <w:bCs/>
          <w:iCs/>
          <w:szCs w:val="20"/>
        </w:rPr>
        <w:t>znik</w:t>
      </w:r>
      <w:r>
        <w:rPr>
          <w:rFonts w:cs="Arial"/>
          <w:b/>
          <w:bCs/>
          <w:iCs/>
          <w:szCs w:val="20"/>
        </w:rPr>
        <w:t xml:space="preserve"> s</w:t>
      </w:r>
      <w:r w:rsidRPr="00B475BD">
        <w:rPr>
          <w:rFonts w:cs="Arial"/>
          <w:b/>
          <w:bCs/>
          <w:iCs/>
          <w:szCs w:val="20"/>
        </w:rPr>
        <w:t>polečnost</w:t>
      </w:r>
      <w:r>
        <w:rPr>
          <w:rFonts w:cs="Arial"/>
          <w:b/>
          <w:bCs/>
          <w:iCs/>
          <w:szCs w:val="20"/>
        </w:rPr>
        <w:t>i</w:t>
      </w:r>
      <w:r w:rsidRPr="00B475BD">
        <w:rPr>
          <w:rFonts w:cs="Arial"/>
          <w:b/>
          <w:bCs/>
          <w:iCs/>
          <w:szCs w:val="20"/>
        </w:rPr>
        <w:t xml:space="preserve"> </w:t>
      </w:r>
      <w:r>
        <w:rPr>
          <w:rFonts w:cs="Arial"/>
          <w:b/>
          <w:bCs/>
          <w:iCs/>
          <w:szCs w:val="20"/>
        </w:rPr>
        <w:t xml:space="preserve">– </w:t>
      </w:r>
      <w:r w:rsidRPr="00B475BD">
        <w:rPr>
          <w:rFonts w:cs="Arial"/>
          <w:b/>
          <w:bCs/>
          <w:iCs/>
          <w:szCs w:val="20"/>
        </w:rPr>
        <w:t>po</w:t>
      </w:r>
      <w:r>
        <w:rPr>
          <w:rFonts w:cs="Arial"/>
          <w:b/>
          <w:bCs/>
          <w:iCs/>
          <w:szCs w:val="20"/>
        </w:rPr>
        <w:t> </w:t>
      </w:r>
      <w:r w:rsidRPr="00B475BD">
        <w:rPr>
          <w:rFonts w:cs="Arial"/>
          <w:b/>
          <w:bCs/>
          <w:iCs/>
          <w:szCs w:val="20"/>
        </w:rPr>
        <w:t xml:space="preserve">ocenění podílů soudním znalcem, schválení a vypořádání transakcí a získání živnostenských oprávnění </w:t>
      </w:r>
      <w:r>
        <w:rPr>
          <w:rFonts w:cs="Arial"/>
          <w:b/>
          <w:bCs/>
          <w:iCs/>
          <w:szCs w:val="20"/>
        </w:rPr>
        <w:t xml:space="preserve">zápisem do obchodního rejstříku – </w:t>
      </w:r>
      <w:r w:rsidRPr="00B475BD">
        <w:rPr>
          <w:rFonts w:cs="Arial"/>
          <w:b/>
          <w:bCs/>
          <w:iCs/>
          <w:szCs w:val="20"/>
        </w:rPr>
        <w:t xml:space="preserve">se předpokládá realizovat </w:t>
      </w:r>
      <w:r>
        <w:rPr>
          <w:rFonts w:cs="Arial"/>
          <w:b/>
          <w:bCs/>
          <w:iCs/>
          <w:szCs w:val="20"/>
        </w:rPr>
        <w:t xml:space="preserve">během září </w:t>
      </w:r>
      <w:r w:rsidRPr="00B475BD">
        <w:rPr>
          <w:rFonts w:cs="Arial"/>
          <w:b/>
          <w:bCs/>
          <w:iCs/>
          <w:szCs w:val="20"/>
        </w:rPr>
        <w:t>2010.</w:t>
      </w:r>
    </w:p>
    <w:p w:rsidR="003F063C" w:rsidRDefault="003F063C" w:rsidP="00424A0D">
      <w:pPr>
        <w:spacing w:before="240"/>
        <w:rPr>
          <w:rFonts w:cs="Arial"/>
          <w:bCs/>
          <w:iCs/>
          <w:szCs w:val="20"/>
        </w:rPr>
      </w:pPr>
      <w:r>
        <w:rPr>
          <w:rFonts w:cs="Arial"/>
          <w:b/>
          <w:bCs/>
          <w:iCs/>
          <w:szCs w:val="20"/>
        </w:rPr>
        <w:t xml:space="preserve">Součástí transakce bude převod aktiva v majetku MHMP </w:t>
      </w:r>
      <w:r w:rsidRPr="00E01319">
        <w:rPr>
          <w:rFonts w:cs="Arial"/>
          <w:bCs/>
          <w:iCs/>
          <w:szCs w:val="20"/>
        </w:rPr>
        <w:t>(</w:t>
      </w:r>
      <w:r>
        <w:rPr>
          <w:rFonts w:cs="Arial"/>
          <w:bCs/>
          <w:iCs/>
          <w:szCs w:val="20"/>
        </w:rPr>
        <w:t>kmen</w:t>
      </w:r>
      <w:r w:rsidRPr="00DB357D">
        <w:rPr>
          <w:rFonts w:cs="Arial"/>
          <w:bCs/>
          <w:iCs/>
          <w:szCs w:val="20"/>
        </w:rPr>
        <w:t xml:space="preserve"> uživatelů opencard</w:t>
      </w:r>
      <w:r>
        <w:rPr>
          <w:rFonts w:cs="Arial"/>
          <w:bCs/>
          <w:iCs/>
          <w:szCs w:val="20"/>
        </w:rPr>
        <w:t>) na nově vzniklý subjekt.</w:t>
      </w:r>
      <w:r w:rsidRPr="00E867E4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Po založení obchodní společnosti opencard je možné připravit vstup </w:t>
      </w:r>
      <w:r>
        <w:rPr>
          <w:rFonts w:cs="Arial"/>
          <w:b/>
          <w:bCs/>
          <w:iCs/>
          <w:szCs w:val="20"/>
        </w:rPr>
        <w:t>strategického</w:t>
      </w:r>
      <w:r w:rsidRPr="008E4B46">
        <w:rPr>
          <w:rFonts w:cs="Arial"/>
          <w:b/>
          <w:bCs/>
          <w:iCs/>
          <w:szCs w:val="20"/>
        </w:rPr>
        <w:t xml:space="preserve"> partner</w:t>
      </w:r>
      <w:r>
        <w:rPr>
          <w:rFonts w:cs="Arial"/>
          <w:b/>
          <w:bCs/>
          <w:iCs/>
          <w:szCs w:val="20"/>
        </w:rPr>
        <w:t>a do této společnosti.</w:t>
      </w:r>
    </w:p>
    <w:p w:rsidR="003F063C" w:rsidRPr="009E6DEB" w:rsidRDefault="003F063C" w:rsidP="000B79AA">
      <w:pPr>
        <w:spacing w:before="240"/>
        <w:rPr>
          <w:rFonts w:ascii="Times New Roman" w:hAnsi="Times New Roman" w:cs="Arial"/>
          <w:bCs/>
          <w:iCs/>
          <w:szCs w:val="20"/>
        </w:rPr>
      </w:pPr>
      <w:r w:rsidRPr="00E867E4">
        <w:rPr>
          <w:rFonts w:cs="Arial"/>
          <w:bCs/>
          <w:iCs/>
          <w:szCs w:val="20"/>
        </w:rPr>
        <w:t>Znázornění všech klíčových transakcí popisuje následující schéma.</w:t>
      </w:r>
    </w:p>
    <w:p w:rsidR="003F063C" w:rsidRPr="005D02B7" w:rsidRDefault="003F063C" w:rsidP="000B79AA">
      <w:pPr>
        <w:spacing w:before="240"/>
        <w:jc w:val="center"/>
        <w:rPr>
          <w:bCs/>
          <w:iCs/>
          <w:sz w:val="22"/>
          <w:szCs w:val="22"/>
        </w:rPr>
      </w:pPr>
      <w:r w:rsidRPr="009104EE">
        <w:rPr>
          <w:noProof/>
          <w:szCs w:val="22"/>
          <w:lang w:eastAsia="cs-CZ"/>
        </w:rPr>
        <w:pict>
          <v:shape id="_x0000_i1029" type="#_x0000_t75" style="width:511.5pt;height:364.5pt;visibility:visible">
            <v:imagedata r:id="rId11" o:title=""/>
          </v:shape>
        </w:pict>
      </w:r>
    </w:p>
    <w:p w:rsidR="003F063C" w:rsidRDefault="003F063C" w:rsidP="000B79AA">
      <w:pPr>
        <w:pStyle w:val="Heading2"/>
        <w:pageBreakBefore/>
        <w:spacing w:before="120"/>
      </w:pPr>
      <w:r w:rsidRPr="00751BC9">
        <w:t xml:space="preserve">Další postup </w:t>
      </w:r>
    </w:p>
    <w:p w:rsidR="003F063C" w:rsidRPr="00C85C46" w:rsidRDefault="003F063C" w:rsidP="000B79AA">
      <w:pPr>
        <w:spacing w:before="0"/>
        <w:rPr>
          <w:szCs w:val="20"/>
        </w:rPr>
      </w:pPr>
      <w:r w:rsidRPr="00C85C46">
        <w:rPr>
          <w:szCs w:val="20"/>
        </w:rPr>
        <w:t xml:space="preserve">Před </w:t>
      </w:r>
      <w:r w:rsidRPr="00C85C46">
        <w:rPr>
          <w:b/>
          <w:szCs w:val="20"/>
        </w:rPr>
        <w:t>vznikem společnosti zápisem do obchodního rejstříku</w:t>
      </w:r>
      <w:r w:rsidRPr="00C85C46">
        <w:rPr>
          <w:szCs w:val="20"/>
        </w:rPr>
        <w:t xml:space="preserve"> bude společnost opencard založena podpisem zakladatelské smlouvy. Budou vypracovány znalecké posudky na nepeněžité vklady a připravena smluvní dokumentace pro vklady do základního kapitálu. Po </w:t>
      </w:r>
      <w:r w:rsidRPr="00C85C46">
        <w:rPr>
          <w:b/>
          <w:szCs w:val="20"/>
        </w:rPr>
        <w:t>vypořádání transakcí</w:t>
      </w:r>
      <w:r w:rsidRPr="00C85C46">
        <w:rPr>
          <w:szCs w:val="20"/>
        </w:rPr>
        <w:t xml:space="preserve"> bud</w:t>
      </w:r>
      <w:r>
        <w:rPr>
          <w:szCs w:val="20"/>
        </w:rPr>
        <w:t>ou nastaveny řídící struktury a </w:t>
      </w:r>
      <w:r w:rsidRPr="00C85C46">
        <w:rPr>
          <w:szCs w:val="20"/>
        </w:rPr>
        <w:t xml:space="preserve">ustaveny statutární orgány společnosti. Souběžně bude probíhat sestavení obchodního plánu a bude připraven </w:t>
      </w:r>
      <w:r w:rsidRPr="00C85C46">
        <w:rPr>
          <w:b/>
          <w:szCs w:val="20"/>
        </w:rPr>
        <w:t>převod všech smluvních vztahů a závazků</w:t>
      </w:r>
      <w:r w:rsidRPr="00C85C46">
        <w:rPr>
          <w:szCs w:val="20"/>
        </w:rPr>
        <w:t xml:space="preserve"> mezi dosavadními účastníky projektu opencard na nově vzniklou společnost.</w:t>
      </w:r>
    </w:p>
    <w:p w:rsidR="003F063C" w:rsidRDefault="003F063C" w:rsidP="000B79AA">
      <w:pPr>
        <w:spacing w:before="0"/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 xml:space="preserve">Budou oceněna nehmotná aktiva MHMP a DPHMP v podobě </w:t>
      </w:r>
      <w:r w:rsidRPr="00A14221">
        <w:rPr>
          <w:rFonts w:cs="Arial"/>
          <w:b/>
          <w:bCs/>
          <w:iCs/>
          <w:szCs w:val="20"/>
        </w:rPr>
        <w:t>kmene uživatelů opencard</w:t>
      </w:r>
      <w:r>
        <w:rPr>
          <w:rFonts w:cs="Arial"/>
          <w:bCs/>
          <w:iCs/>
          <w:szCs w:val="20"/>
        </w:rPr>
        <w:t xml:space="preserve"> a následně vypořádán jejich </w:t>
      </w:r>
      <w:r w:rsidRPr="00A14221">
        <w:rPr>
          <w:rFonts w:cs="Arial"/>
          <w:b/>
          <w:bCs/>
          <w:iCs/>
          <w:szCs w:val="20"/>
        </w:rPr>
        <w:t>odkup společností opencard</w:t>
      </w:r>
      <w:r>
        <w:rPr>
          <w:rFonts w:cs="Arial"/>
          <w:bCs/>
          <w:iCs/>
          <w:szCs w:val="20"/>
        </w:rPr>
        <w:t xml:space="preserve">. </w:t>
      </w:r>
    </w:p>
    <w:p w:rsidR="003F063C" w:rsidRDefault="003F063C" w:rsidP="000B79AA">
      <w:pPr>
        <w:spacing w:before="0"/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 xml:space="preserve">Následně dojde k </w:t>
      </w:r>
      <w:r>
        <w:rPr>
          <w:rFonts w:cs="Arial"/>
          <w:b/>
          <w:bCs/>
          <w:iCs/>
          <w:szCs w:val="20"/>
        </w:rPr>
        <w:t>výběru strategického</w:t>
      </w:r>
      <w:r w:rsidRPr="00A14221">
        <w:rPr>
          <w:rFonts w:cs="Arial"/>
          <w:b/>
          <w:bCs/>
          <w:iCs/>
          <w:szCs w:val="20"/>
        </w:rPr>
        <w:t xml:space="preserve"> partner</w:t>
      </w:r>
      <w:r>
        <w:rPr>
          <w:rFonts w:cs="Arial"/>
          <w:b/>
          <w:bCs/>
          <w:iCs/>
          <w:szCs w:val="20"/>
        </w:rPr>
        <w:t>a a realizaci</w:t>
      </w:r>
      <w:r w:rsidRPr="00A14221">
        <w:rPr>
          <w:rFonts w:cs="Arial"/>
          <w:b/>
          <w:bCs/>
          <w:iCs/>
          <w:szCs w:val="20"/>
        </w:rPr>
        <w:t xml:space="preserve"> jeho vstup</w:t>
      </w:r>
      <w:r>
        <w:rPr>
          <w:rFonts w:cs="Arial"/>
          <w:b/>
          <w:bCs/>
          <w:iCs/>
          <w:szCs w:val="20"/>
        </w:rPr>
        <w:t>u</w:t>
      </w:r>
      <w:r w:rsidRPr="00A14221">
        <w:rPr>
          <w:rFonts w:cs="Arial"/>
          <w:b/>
          <w:bCs/>
          <w:iCs/>
          <w:szCs w:val="20"/>
        </w:rPr>
        <w:t xml:space="preserve"> do projektu</w:t>
      </w:r>
      <w:r>
        <w:rPr>
          <w:rFonts w:cs="Arial"/>
          <w:bCs/>
          <w:iCs/>
          <w:szCs w:val="20"/>
        </w:rPr>
        <w:t xml:space="preserve"> formou majetkové účasti na společnosti opencard, což dále podpoří </w:t>
      </w:r>
      <w:r>
        <w:rPr>
          <w:rFonts w:cs="Arial"/>
          <w:b/>
          <w:bCs/>
          <w:iCs/>
          <w:szCs w:val="20"/>
        </w:rPr>
        <w:t>rozvoj</w:t>
      </w:r>
      <w:r w:rsidRPr="00A14221">
        <w:rPr>
          <w:rFonts w:cs="Arial"/>
          <w:b/>
          <w:bCs/>
          <w:iCs/>
          <w:szCs w:val="20"/>
        </w:rPr>
        <w:t xml:space="preserve"> komerčních aplikací</w:t>
      </w:r>
      <w:r>
        <w:rPr>
          <w:rFonts w:cs="Arial"/>
          <w:bCs/>
          <w:iCs/>
          <w:szCs w:val="20"/>
        </w:rPr>
        <w:t xml:space="preserve"> za účelem zajištění zdrojů budoucích výnosů z nedopravních (komerčních) aktivit a zvýšení přidané hodnoty pro uživatele a komerční partnery projektu.</w:t>
      </w:r>
    </w:p>
    <w:p w:rsidR="003F063C" w:rsidRDefault="003F063C" w:rsidP="000B79AA">
      <w:pPr>
        <w:spacing w:before="240"/>
        <w:rPr>
          <w:rFonts w:cs="Arial"/>
          <w:bCs/>
          <w:iCs/>
          <w:szCs w:val="20"/>
        </w:rPr>
      </w:pPr>
      <w:r w:rsidRPr="00A14221">
        <w:rPr>
          <w:rFonts w:cs="Arial"/>
          <w:b/>
          <w:bCs/>
          <w:iCs/>
          <w:szCs w:val="20"/>
        </w:rPr>
        <w:t xml:space="preserve">Kroky </w:t>
      </w:r>
      <w:r>
        <w:rPr>
          <w:rFonts w:cs="Arial"/>
          <w:bCs/>
          <w:iCs/>
          <w:szCs w:val="20"/>
        </w:rPr>
        <w:t xml:space="preserve">nutné pro </w:t>
      </w:r>
      <w:r w:rsidRPr="00A14221">
        <w:rPr>
          <w:rFonts w:cs="Arial"/>
          <w:b/>
          <w:bCs/>
          <w:iCs/>
          <w:szCs w:val="20"/>
        </w:rPr>
        <w:t>realizaci plánu</w:t>
      </w:r>
      <w:r>
        <w:rPr>
          <w:rFonts w:cs="Arial"/>
          <w:bCs/>
          <w:iCs/>
          <w:szCs w:val="20"/>
        </w:rPr>
        <w:t>:</w:t>
      </w:r>
    </w:p>
    <w:p w:rsidR="003F063C" w:rsidRDefault="003F063C" w:rsidP="00184A4C">
      <w:pPr>
        <w:numPr>
          <w:ilvl w:val="0"/>
          <w:numId w:val="6"/>
        </w:numPr>
        <w:spacing w:before="120" w:after="120"/>
        <w:ind w:left="714" w:hanging="357"/>
        <w:rPr>
          <w:rFonts w:cs="Arial"/>
          <w:bCs/>
          <w:iCs/>
          <w:szCs w:val="20"/>
        </w:rPr>
      </w:pPr>
      <w:r w:rsidRPr="00A14221">
        <w:rPr>
          <w:rFonts w:cs="Arial"/>
          <w:b/>
          <w:bCs/>
          <w:iCs/>
          <w:szCs w:val="20"/>
        </w:rPr>
        <w:t>Rozhodnout o</w:t>
      </w:r>
      <w:r>
        <w:rPr>
          <w:rFonts w:cs="Arial"/>
          <w:bCs/>
          <w:iCs/>
          <w:szCs w:val="20"/>
        </w:rPr>
        <w:t xml:space="preserve"> </w:t>
      </w:r>
      <w:r w:rsidRPr="00A14221">
        <w:rPr>
          <w:rFonts w:cs="Arial"/>
          <w:b/>
          <w:bCs/>
          <w:iCs/>
          <w:szCs w:val="20"/>
        </w:rPr>
        <w:t>způsobu založení a vzniku společnosti a její právní formě</w:t>
      </w:r>
      <w:r>
        <w:rPr>
          <w:rFonts w:cs="Arial"/>
          <w:bCs/>
          <w:iCs/>
          <w:szCs w:val="20"/>
        </w:rPr>
        <w:t>.</w:t>
      </w:r>
    </w:p>
    <w:p w:rsidR="003F063C" w:rsidRDefault="003F063C" w:rsidP="00184A4C">
      <w:pPr>
        <w:numPr>
          <w:ilvl w:val="0"/>
          <w:numId w:val="6"/>
        </w:numPr>
        <w:spacing w:before="120" w:after="120"/>
        <w:ind w:left="714" w:hanging="357"/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 xml:space="preserve">Vypracovat znalecké posudky, </w:t>
      </w:r>
      <w:r w:rsidRPr="00A14221">
        <w:rPr>
          <w:rFonts w:cs="Arial"/>
          <w:b/>
          <w:bCs/>
          <w:iCs/>
          <w:szCs w:val="20"/>
        </w:rPr>
        <w:t>připravit smluvní dokumentaci pro založení a vznik společnosti</w:t>
      </w:r>
      <w:r>
        <w:rPr>
          <w:rFonts w:cs="Arial"/>
          <w:bCs/>
          <w:iCs/>
          <w:szCs w:val="20"/>
        </w:rPr>
        <w:t xml:space="preserve"> a stanovit </w:t>
      </w:r>
      <w:r w:rsidRPr="00A14221">
        <w:rPr>
          <w:rFonts w:cs="Arial"/>
          <w:b/>
          <w:bCs/>
          <w:iCs/>
          <w:szCs w:val="20"/>
        </w:rPr>
        <w:t>mechanismus a právní rámec</w:t>
      </w:r>
      <w:r>
        <w:rPr>
          <w:rFonts w:cs="Arial"/>
          <w:bCs/>
          <w:iCs/>
          <w:szCs w:val="20"/>
        </w:rPr>
        <w:t xml:space="preserve"> </w:t>
      </w:r>
      <w:r w:rsidRPr="00A14221">
        <w:rPr>
          <w:rFonts w:cs="Arial"/>
          <w:b/>
          <w:bCs/>
          <w:iCs/>
          <w:szCs w:val="20"/>
        </w:rPr>
        <w:t>vypořádání vkladů do základního kapitálu</w:t>
      </w:r>
      <w:r>
        <w:rPr>
          <w:rFonts w:cs="Arial"/>
          <w:bCs/>
          <w:iCs/>
          <w:szCs w:val="20"/>
        </w:rPr>
        <w:t>.</w:t>
      </w:r>
    </w:p>
    <w:p w:rsidR="003F063C" w:rsidRDefault="003F063C" w:rsidP="00184A4C">
      <w:pPr>
        <w:numPr>
          <w:ilvl w:val="0"/>
          <w:numId w:val="6"/>
        </w:numPr>
        <w:spacing w:before="120" w:after="120"/>
        <w:ind w:left="714" w:hanging="357"/>
        <w:rPr>
          <w:rFonts w:cs="Arial"/>
          <w:bCs/>
          <w:iCs/>
          <w:szCs w:val="20"/>
        </w:rPr>
      </w:pPr>
      <w:r w:rsidRPr="00A14221">
        <w:rPr>
          <w:rFonts w:cs="Arial"/>
          <w:b/>
          <w:bCs/>
          <w:iCs/>
          <w:szCs w:val="20"/>
        </w:rPr>
        <w:t>Připravit vznik a obsazení řídících struktur a statutárních orgánů</w:t>
      </w:r>
      <w:r>
        <w:rPr>
          <w:rFonts w:cs="Arial"/>
          <w:bCs/>
          <w:iCs/>
          <w:szCs w:val="20"/>
        </w:rPr>
        <w:t xml:space="preserve"> společnosti. Vypracovat organizační strukturu a stanovy společnosti.</w:t>
      </w:r>
    </w:p>
    <w:p w:rsidR="003F063C" w:rsidRDefault="003F063C" w:rsidP="00184A4C">
      <w:pPr>
        <w:numPr>
          <w:ilvl w:val="0"/>
          <w:numId w:val="6"/>
        </w:numPr>
        <w:spacing w:before="120" w:after="120"/>
        <w:ind w:left="714" w:hanging="357"/>
        <w:rPr>
          <w:rFonts w:cs="Arial"/>
          <w:bCs/>
          <w:iCs/>
          <w:szCs w:val="20"/>
        </w:rPr>
      </w:pPr>
      <w:r w:rsidRPr="00A14221">
        <w:rPr>
          <w:rFonts w:cs="Arial"/>
          <w:b/>
          <w:bCs/>
          <w:iCs/>
          <w:szCs w:val="20"/>
        </w:rPr>
        <w:t>Zpracovat business plán</w:t>
      </w:r>
      <w:r>
        <w:rPr>
          <w:rFonts w:cs="Arial"/>
          <w:bCs/>
          <w:iCs/>
          <w:szCs w:val="20"/>
        </w:rPr>
        <w:t xml:space="preserve"> společnosti a </w:t>
      </w:r>
      <w:r w:rsidRPr="00A14221">
        <w:rPr>
          <w:rFonts w:cs="Arial"/>
          <w:b/>
          <w:bCs/>
          <w:iCs/>
          <w:szCs w:val="20"/>
        </w:rPr>
        <w:t>ocenit nehmotná aktiva</w:t>
      </w:r>
      <w:r>
        <w:rPr>
          <w:rFonts w:cs="Arial"/>
          <w:bCs/>
          <w:iCs/>
          <w:szCs w:val="20"/>
        </w:rPr>
        <w:t xml:space="preserve"> MHMP a DPHMP, tj. kmen uživatelů opencard, za účelem jeho převodu z MHMP, respektive DPHMP, na společnost.</w:t>
      </w:r>
    </w:p>
    <w:p w:rsidR="003F063C" w:rsidRDefault="003F063C" w:rsidP="00184A4C">
      <w:pPr>
        <w:numPr>
          <w:ilvl w:val="0"/>
          <w:numId w:val="6"/>
        </w:numPr>
        <w:spacing w:before="120" w:after="120"/>
        <w:ind w:left="714" w:hanging="357"/>
        <w:rPr>
          <w:rFonts w:cs="Arial"/>
          <w:bCs/>
          <w:iCs/>
          <w:szCs w:val="20"/>
        </w:rPr>
      </w:pPr>
      <w:r w:rsidRPr="00A14221">
        <w:rPr>
          <w:rFonts w:cs="Arial"/>
          <w:b/>
          <w:bCs/>
          <w:iCs/>
          <w:szCs w:val="20"/>
        </w:rPr>
        <w:t>Připravit převod smluvních závazků</w:t>
      </w:r>
      <w:r>
        <w:rPr>
          <w:rFonts w:cs="Arial"/>
          <w:bCs/>
          <w:iCs/>
          <w:szCs w:val="20"/>
        </w:rPr>
        <w:t xml:space="preserve"> mezi účastníky projektu opencard na novou společnost včetně smluv s uživateli karet. </w:t>
      </w:r>
    </w:p>
    <w:p w:rsidR="003F063C" w:rsidRDefault="003F063C" w:rsidP="00184A4C">
      <w:pPr>
        <w:numPr>
          <w:ilvl w:val="0"/>
          <w:numId w:val="6"/>
        </w:numPr>
        <w:spacing w:before="120" w:after="120"/>
        <w:ind w:left="714" w:hanging="357"/>
        <w:rPr>
          <w:rFonts w:cs="Arial"/>
          <w:bCs/>
          <w:iCs/>
          <w:sz w:val="18"/>
          <w:szCs w:val="18"/>
        </w:rPr>
      </w:pPr>
      <w:r w:rsidRPr="00A14221">
        <w:rPr>
          <w:rFonts w:cs="Arial"/>
          <w:b/>
          <w:bCs/>
          <w:iCs/>
          <w:szCs w:val="20"/>
        </w:rPr>
        <w:t xml:space="preserve">Rozhodnout o způsobu pokrytí rizika souvisejícího s převodem kmene držitelů opencard </w:t>
      </w:r>
      <w:r>
        <w:rPr>
          <w:rFonts w:cs="Arial"/>
          <w:bCs/>
          <w:iCs/>
          <w:szCs w:val="20"/>
        </w:rPr>
        <w:t xml:space="preserve">na společnost opencard. </w:t>
      </w:r>
      <w:r w:rsidRPr="00512D01">
        <w:rPr>
          <w:rFonts w:cs="Arial"/>
          <w:bCs/>
          <w:iCs/>
          <w:szCs w:val="20"/>
        </w:rPr>
        <w:t xml:space="preserve">DPHMP </w:t>
      </w:r>
      <w:r>
        <w:rPr>
          <w:rFonts w:cs="Arial"/>
          <w:bCs/>
          <w:iCs/>
          <w:szCs w:val="20"/>
        </w:rPr>
        <w:t xml:space="preserve">bude totiž </w:t>
      </w:r>
      <w:r w:rsidRPr="00512D01">
        <w:rPr>
          <w:rFonts w:cs="Arial"/>
          <w:bCs/>
          <w:iCs/>
          <w:szCs w:val="20"/>
        </w:rPr>
        <w:t>současně disponovat daty o používání karty opencard v</w:t>
      </w:r>
      <w:r>
        <w:rPr>
          <w:rFonts w:cs="Arial"/>
          <w:bCs/>
          <w:iCs/>
          <w:szCs w:val="20"/>
        </w:rPr>
        <w:t> </w:t>
      </w:r>
      <w:r w:rsidRPr="00512D01">
        <w:rPr>
          <w:rFonts w:cs="Arial"/>
          <w:bCs/>
          <w:iCs/>
          <w:szCs w:val="20"/>
        </w:rPr>
        <w:t>dopravě</w:t>
      </w:r>
      <w:r>
        <w:rPr>
          <w:rFonts w:cs="Arial"/>
          <w:bCs/>
          <w:iCs/>
          <w:szCs w:val="20"/>
        </w:rPr>
        <w:t>, později i v souvislosti s využitím ostatních aplikací karty,</w:t>
      </w:r>
      <w:r w:rsidRPr="00512D01">
        <w:rPr>
          <w:rFonts w:cs="Arial"/>
          <w:bCs/>
          <w:iCs/>
          <w:szCs w:val="20"/>
        </w:rPr>
        <w:t xml:space="preserve"> a zároveň osobními údaji držitelů opencard. Situace může být Úřadem pro ochranu osobních údajů posuzována jako riziková z pohledu možného zneužití osobních údajů</w:t>
      </w:r>
      <w:r>
        <w:rPr>
          <w:rFonts w:cs="Arial"/>
          <w:bCs/>
          <w:iCs/>
          <w:szCs w:val="20"/>
        </w:rPr>
        <w:t>.</w:t>
      </w:r>
    </w:p>
    <w:p w:rsidR="003F063C" w:rsidRDefault="003F063C" w:rsidP="00184A4C">
      <w:pPr>
        <w:numPr>
          <w:ilvl w:val="0"/>
          <w:numId w:val="6"/>
        </w:numPr>
        <w:spacing w:before="120" w:after="120"/>
        <w:ind w:left="714" w:hanging="357"/>
        <w:rPr>
          <w:rFonts w:cs="Arial"/>
          <w:bCs/>
          <w:iCs/>
          <w:szCs w:val="20"/>
        </w:rPr>
      </w:pPr>
      <w:r w:rsidRPr="00A14221">
        <w:rPr>
          <w:rFonts w:cs="Arial"/>
          <w:b/>
          <w:bCs/>
          <w:iCs/>
          <w:szCs w:val="20"/>
        </w:rPr>
        <w:t xml:space="preserve">Připravit podmínky pro vstup strategického partnera </w:t>
      </w:r>
      <w:r>
        <w:rPr>
          <w:rFonts w:cs="Arial"/>
          <w:bCs/>
          <w:iCs/>
          <w:szCs w:val="20"/>
        </w:rPr>
        <w:t>formou majetkové účasti na společnosti.</w:t>
      </w:r>
    </w:p>
    <w:p w:rsidR="003F063C" w:rsidRPr="0078056E" w:rsidRDefault="003F063C" w:rsidP="000B79AA">
      <w:pPr>
        <w:spacing w:before="120" w:after="120"/>
        <w:rPr>
          <w:rFonts w:cs="Arial"/>
          <w:bCs/>
          <w:iCs/>
          <w:szCs w:val="20"/>
        </w:rPr>
      </w:pPr>
      <w:r w:rsidRPr="0078056E">
        <w:rPr>
          <w:rFonts w:cs="Arial"/>
          <w:bCs/>
          <w:iCs/>
          <w:szCs w:val="20"/>
        </w:rPr>
        <w:t>Detailní fázování dalšího postupu je uvedeno v </w:t>
      </w:r>
      <w:r>
        <w:rPr>
          <w:rFonts w:cs="Arial"/>
          <w:bCs/>
          <w:iCs/>
          <w:szCs w:val="20"/>
        </w:rPr>
        <w:t>P</w:t>
      </w:r>
      <w:r w:rsidRPr="0078056E">
        <w:rPr>
          <w:rFonts w:cs="Arial"/>
          <w:bCs/>
          <w:iCs/>
          <w:szCs w:val="20"/>
        </w:rPr>
        <w:t>říloze 1 této zprávy.</w:t>
      </w:r>
    </w:p>
    <w:p w:rsidR="003F063C" w:rsidRDefault="003F063C">
      <w:pPr>
        <w:spacing w:before="0" w:after="0"/>
        <w:jc w:val="left"/>
        <w:rPr>
          <w:rFonts w:cs="Arial"/>
          <w:b/>
          <w:bCs/>
          <w:iCs/>
          <w:color w:val="4F6228"/>
          <w:sz w:val="24"/>
          <w:szCs w:val="28"/>
        </w:rPr>
      </w:pPr>
      <w:r>
        <w:br w:type="page"/>
      </w:r>
    </w:p>
    <w:p w:rsidR="003F063C" w:rsidRDefault="003F063C" w:rsidP="000B79AA">
      <w:pPr>
        <w:pStyle w:val="Heading2"/>
        <w:spacing w:before="120" w:after="120"/>
      </w:pPr>
      <w:r>
        <w:t>SWOT analýza projektu Opencard</w:t>
      </w:r>
    </w:p>
    <w:p w:rsidR="003F063C" w:rsidRDefault="003F063C" w:rsidP="000B79AA">
      <w:pPr>
        <w:spacing w:before="120" w:after="120"/>
      </w:pPr>
      <w:r>
        <w:t xml:space="preserve">Zvolená strategie vyčlenění projektu Opencard do nové obchodní společnosti znamená z pohledu SWOT analýzy </w:t>
      </w:r>
      <w:r w:rsidRPr="00D107D9">
        <w:rPr>
          <w:b/>
        </w:rPr>
        <w:t>maximalizaci příležitostí a minimalizaci slabých stránek</w:t>
      </w:r>
      <w:r>
        <w:t xml:space="preserve"> projektu:</w:t>
      </w:r>
    </w:p>
    <w:tbl>
      <w:tblPr>
        <w:tblW w:w="5000" w:type="pct"/>
        <w:tblBorders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5"/>
        <w:gridCol w:w="5228"/>
        <w:gridCol w:w="5373"/>
      </w:tblGrid>
      <w:tr w:rsidR="003F063C" w:rsidRPr="001D406B">
        <w:trPr>
          <w:trHeight w:val="193"/>
        </w:trPr>
        <w:tc>
          <w:tcPr>
            <w:tcW w:w="5000" w:type="pct"/>
            <w:gridSpan w:val="3"/>
            <w:shd w:val="clear" w:color="auto" w:fill="76923C"/>
            <w:vAlign w:val="center"/>
          </w:tcPr>
          <w:p w:rsidR="003F063C" w:rsidRPr="001D406B" w:rsidRDefault="003F063C" w:rsidP="000B79AA">
            <w:pPr>
              <w:spacing w:before="40" w:after="40"/>
              <w:ind w:left="-68" w:right="-68"/>
              <w:jc w:val="center"/>
              <w:rPr>
                <w:b/>
              </w:rPr>
            </w:pPr>
            <w:r>
              <w:rPr>
                <w:b/>
                <w:color w:val="FFFFFF"/>
              </w:rPr>
              <w:t>SWOT analýza projektu Opencard</w:t>
            </w:r>
          </w:p>
        </w:tc>
      </w:tr>
      <w:tr w:rsidR="003F063C" w:rsidRPr="004312E4">
        <w:trPr>
          <w:trHeight w:val="219"/>
        </w:trPr>
        <w:tc>
          <w:tcPr>
            <w:tcW w:w="2466" w:type="pct"/>
            <w:gridSpan w:val="2"/>
            <w:shd w:val="clear" w:color="auto" w:fill="FFFFCC"/>
            <w:vAlign w:val="center"/>
          </w:tcPr>
          <w:p w:rsidR="003F063C" w:rsidRPr="008D6960" w:rsidRDefault="003F063C" w:rsidP="000B79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Interní silné stránky</w:t>
            </w:r>
          </w:p>
        </w:tc>
        <w:tc>
          <w:tcPr>
            <w:tcW w:w="2534" w:type="pct"/>
            <w:shd w:val="clear" w:color="auto" w:fill="FFFFCC"/>
            <w:vAlign w:val="center"/>
          </w:tcPr>
          <w:p w:rsidR="003F063C" w:rsidRPr="008B7D2A" w:rsidRDefault="003F063C" w:rsidP="000B79AA">
            <w:pPr>
              <w:jc w:val="center"/>
              <w:rPr>
                <w:b/>
                <w:sz w:val="16"/>
                <w:szCs w:val="16"/>
              </w:rPr>
            </w:pPr>
            <w:r w:rsidRPr="008B7D2A">
              <w:rPr>
                <w:b/>
                <w:sz w:val="16"/>
                <w:szCs w:val="16"/>
              </w:rPr>
              <w:t>Interní slabé stránky</w:t>
            </w:r>
          </w:p>
        </w:tc>
      </w:tr>
      <w:tr w:rsidR="003F063C" w:rsidRPr="004312E4">
        <w:trPr>
          <w:trHeight w:val="219"/>
        </w:trPr>
        <w:tc>
          <w:tcPr>
            <w:tcW w:w="2466" w:type="pct"/>
            <w:gridSpan w:val="2"/>
            <w:shd w:val="clear" w:color="auto" w:fill="F2F2F2"/>
          </w:tcPr>
          <w:p w:rsidR="003F063C" w:rsidRPr="008B7D2A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b/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 xml:space="preserve">Nehmotné aktivum v podobě kmene </w:t>
            </w:r>
            <w:r>
              <w:rPr>
                <w:sz w:val="16"/>
                <w:szCs w:val="16"/>
              </w:rPr>
              <w:t>380 tis. držitelů karty.</w:t>
            </w:r>
          </w:p>
          <w:p w:rsidR="003F063C" w:rsidRPr="008B7D2A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b/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290 tis. aktivních uživatelů</w:t>
            </w:r>
            <w:r>
              <w:rPr>
                <w:sz w:val="16"/>
                <w:szCs w:val="16"/>
              </w:rPr>
              <w:t xml:space="preserve"> karty.</w:t>
            </w:r>
          </w:p>
          <w:p w:rsidR="003F063C" w:rsidRPr="008B7D2A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Technologie multiplikační SmartCard umožňující další rozvoj a nasazování dalších kartových aplikací.</w:t>
            </w:r>
          </w:p>
          <w:p w:rsidR="003F063C" w:rsidRPr="00993D9A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b/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Fungující Servisní Kartové Centrum</w:t>
            </w:r>
            <w:r>
              <w:rPr>
                <w:sz w:val="16"/>
                <w:szCs w:val="16"/>
              </w:rPr>
              <w:t xml:space="preserve"> rutinně zajišťující procesy spojené s vydáváním a správou karty (front-office a back-office).</w:t>
            </w:r>
          </w:p>
          <w:p w:rsidR="003F063C" w:rsidRPr="00023FDD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b/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Fungující dopravní aplikace</w:t>
            </w:r>
            <w:r>
              <w:rPr>
                <w:sz w:val="16"/>
                <w:szCs w:val="16"/>
              </w:rPr>
              <w:t xml:space="preserve"> jako nosná aplikace zajišťující penetraci karty mezi obyvatele Prahy. </w:t>
            </w:r>
          </w:p>
          <w:p w:rsidR="003F063C" w:rsidRPr="00993D9A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Fungující infrastruktura, front-office a back-office pro použití karty v dopravě.</w:t>
            </w:r>
          </w:p>
          <w:p w:rsidR="003F063C" w:rsidRPr="0094187A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Možnost zvětšit velikost a tím také hodnotu kmene držitelů prostřednictvím nucené migrace papírových časových kupónů na elektronické.</w:t>
            </w:r>
          </w:p>
        </w:tc>
        <w:tc>
          <w:tcPr>
            <w:tcW w:w="2534" w:type="pct"/>
            <w:shd w:val="clear" w:color="auto" w:fill="F2F2F2"/>
          </w:tcPr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 xml:space="preserve">Mediálně poškozená image </w:t>
            </w:r>
            <w:r>
              <w:rPr>
                <w:sz w:val="16"/>
                <w:szCs w:val="16"/>
              </w:rPr>
              <w:t>značky opencard.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Mediálně podporovaný obraz nedůvěry v řízení projektu zajišťované magistrátem a státní správou obecně.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 xml:space="preserve">Projekt </w:t>
            </w:r>
            <w:r>
              <w:rPr>
                <w:sz w:val="16"/>
                <w:szCs w:val="16"/>
              </w:rPr>
              <w:t xml:space="preserve">dosud negeneroval výnosy a byl </w:t>
            </w:r>
            <w:r w:rsidRPr="00502BBE">
              <w:rPr>
                <w:b/>
                <w:sz w:val="16"/>
                <w:szCs w:val="16"/>
              </w:rPr>
              <w:t>závislý na financování z rozpočtu MHMP</w:t>
            </w:r>
            <w:r>
              <w:rPr>
                <w:sz w:val="16"/>
                <w:szCs w:val="16"/>
              </w:rPr>
              <w:t xml:space="preserve">. </w:t>
            </w:r>
          </w:p>
          <w:p w:rsidR="003F063C" w:rsidRPr="00851317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851317">
              <w:rPr>
                <w:sz w:val="16"/>
                <w:szCs w:val="16"/>
              </w:rPr>
              <w:t xml:space="preserve">Pro další rozvoj projektu bude </w:t>
            </w:r>
            <w:r>
              <w:rPr>
                <w:sz w:val="16"/>
                <w:szCs w:val="16"/>
              </w:rPr>
              <w:t>MHMP</w:t>
            </w:r>
            <w:r w:rsidRPr="00851317">
              <w:rPr>
                <w:sz w:val="16"/>
                <w:szCs w:val="16"/>
              </w:rPr>
              <w:t xml:space="preserve"> vždy potřebovat partnera s potřebným know-how a kapacitami</w:t>
            </w:r>
            <w:r>
              <w:rPr>
                <w:sz w:val="16"/>
                <w:szCs w:val="16"/>
              </w:rPr>
              <w:t xml:space="preserve"> pro řízení a realizaci rozvoje. 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7A14E4">
              <w:rPr>
                <w:b/>
                <w:sz w:val="16"/>
                <w:szCs w:val="16"/>
              </w:rPr>
              <w:t xml:space="preserve">MHMP bude </w:t>
            </w:r>
            <w:r w:rsidRPr="007A14E4">
              <w:rPr>
                <w:sz w:val="16"/>
                <w:szCs w:val="16"/>
              </w:rPr>
              <w:t>nadále</w:t>
            </w:r>
            <w:r w:rsidRPr="007A14E4">
              <w:rPr>
                <w:b/>
                <w:sz w:val="16"/>
                <w:szCs w:val="16"/>
              </w:rPr>
              <w:t xml:space="preserve"> potřebovat partnera, který zajistí </w:t>
            </w:r>
            <w:r w:rsidRPr="007A14E4">
              <w:rPr>
                <w:sz w:val="16"/>
                <w:szCs w:val="16"/>
              </w:rPr>
              <w:t xml:space="preserve">běžný </w:t>
            </w:r>
            <w:r w:rsidRPr="007A14E4">
              <w:rPr>
                <w:b/>
                <w:sz w:val="16"/>
                <w:szCs w:val="16"/>
              </w:rPr>
              <w:t>provoz Kartového centra</w:t>
            </w:r>
            <w:r>
              <w:rPr>
                <w:sz w:val="16"/>
                <w:szCs w:val="16"/>
              </w:rPr>
              <w:t>. Smlouva s Haguess končí 30. 6. 2010 (s opcí možného prodloužení do 31. 12. 2010).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Rozvoj i provoz projektu </w:t>
            </w:r>
            <w:r w:rsidRPr="007A14E4">
              <w:rPr>
                <w:b/>
                <w:sz w:val="16"/>
                <w:szCs w:val="16"/>
              </w:rPr>
              <w:t>bude vyžadovat další financování</w:t>
            </w:r>
            <w:r>
              <w:rPr>
                <w:sz w:val="16"/>
                <w:szCs w:val="16"/>
              </w:rPr>
              <w:t xml:space="preserve"> do doby, než projekt začne sám generovat dostatečné výnosy.</w:t>
            </w:r>
          </w:p>
          <w:p w:rsidR="003F063C" w:rsidRPr="00BD6022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Schválení dalšího financování provozu a rozvoje projektu ze strany MHMP se jeví jako problematické ve chvíli, kdy město primárně hledá cestu jak umořit počáteční investici.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MHMP a státní správa obecně nedokáže reagovat na aktuální potřeby, příležitosti a rizika projektu tak dynamicky, jak by to dokázal komerční subjekt (rychlost rozhodování, jednoduché a rychlé schvalování na úrovni managementu).</w:t>
            </w:r>
          </w:p>
          <w:p w:rsidR="003F063C" w:rsidRPr="00811588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Kmen držitelů opencard neobsahuje vysoko-příjmové skupiny obyvatel, které nevyužívají nebo využívají jen omezeně městskou hromadnou dopravu.</w:t>
            </w:r>
          </w:p>
        </w:tc>
      </w:tr>
      <w:tr w:rsidR="003F063C" w:rsidRPr="004312E4">
        <w:trPr>
          <w:trHeight w:val="232"/>
        </w:trPr>
        <w:tc>
          <w:tcPr>
            <w:tcW w:w="2466" w:type="pct"/>
            <w:gridSpan w:val="2"/>
            <w:shd w:val="clear" w:color="auto" w:fill="FFFFCC"/>
            <w:vAlign w:val="center"/>
          </w:tcPr>
          <w:p w:rsidR="003F063C" w:rsidRPr="008D6960" w:rsidRDefault="003F063C" w:rsidP="000B79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Externí příležitosti</w:t>
            </w:r>
          </w:p>
        </w:tc>
        <w:tc>
          <w:tcPr>
            <w:tcW w:w="2534" w:type="pct"/>
            <w:shd w:val="clear" w:color="auto" w:fill="FFFFCC"/>
          </w:tcPr>
          <w:p w:rsidR="003F063C" w:rsidRPr="008B7D2A" w:rsidRDefault="003F063C" w:rsidP="000B79AA">
            <w:pPr>
              <w:spacing w:after="20"/>
              <w:jc w:val="center"/>
              <w:rPr>
                <w:b/>
                <w:sz w:val="16"/>
                <w:szCs w:val="16"/>
              </w:rPr>
            </w:pPr>
            <w:r w:rsidRPr="008B7D2A">
              <w:rPr>
                <w:b/>
                <w:sz w:val="16"/>
                <w:szCs w:val="16"/>
              </w:rPr>
              <w:t>Externí hrozby</w:t>
            </w:r>
          </w:p>
        </w:tc>
      </w:tr>
      <w:tr w:rsidR="003F063C" w:rsidRPr="004312E4">
        <w:trPr>
          <w:gridBefore w:val="1"/>
          <w:trHeight w:val="232"/>
        </w:trPr>
        <w:tc>
          <w:tcPr>
            <w:tcW w:w="2466" w:type="pct"/>
            <w:shd w:val="clear" w:color="auto" w:fill="F2F2F2"/>
            <w:vAlign w:val="center"/>
          </w:tcPr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Vstup strategického partnera</w:t>
            </w:r>
            <w:r>
              <w:rPr>
                <w:sz w:val="16"/>
                <w:szCs w:val="16"/>
              </w:rPr>
              <w:t>, který by převzal projekt z pohledu jeho dalšího provozu, rozvoje a financování (ideálně banky, která by zajistila podmínky pro vytvoření platební funkce karty a zajistila širokou akceptační síť na straně obchodníků).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Rozšíření používání karty mimo dopravu</w:t>
            </w:r>
            <w:r>
              <w:rPr>
                <w:sz w:val="16"/>
                <w:szCs w:val="16"/>
              </w:rPr>
              <w:t>, podchycení nákupních zvyklostí držitelů karty a tím zvýšení atraktivity kmene a karty pro další komerční využití.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Realizace modelu obvyklého na obdobných zahraničních projektech, kdy </w:t>
            </w:r>
            <w:r w:rsidRPr="008F51CD">
              <w:rPr>
                <w:b/>
                <w:sz w:val="16"/>
                <w:szCs w:val="16"/>
              </w:rPr>
              <w:t>rozvoj a provoz řídí a zajišťuje k tomu účelu vytvořená dceřiná společnost většinou tvořená klíčovým dopravcem, provozovatelem kartové infrastruktury a případně finanční institucí</w:t>
            </w:r>
            <w:r>
              <w:rPr>
                <w:sz w:val="16"/>
                <w:szCs w:val="16"/>
              </w:rPr>
              <w:t xml:space="preserve"> umožňující platební funkce karty.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Využití obchodního potenciálu kmene držitelů opencard pro případný </w:t>
            </w:r>
            <w:r w:rsidRPr="00502BBE">
              <w:rPr>
                <w:b/>
                <w:sz w:val="16"/>
                <w:szCs w:val="16"/>
              </w:rPr>
              <w:t>křížový prodej</w:t>
            </w:r>
            <w:r>
              <w:rPr>
                <w:sz w:val="16"/>
                <w:szCs w:val="16"/>
              </w:rPr>
              <w:t xml:space="preserve"> ze strany obchodních partnerů vyvážený jejich atraktivní nebo unikátní nabídkou produktů nebo služeb pro držitele karty.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 xml:space="preserve">Zpoplatnění vydání nebo správy karty </w:t>
            </w:r>
            <w:r>
              <w:rPr>
                <w:sz w:val="16"/>
                <w:szCs w:val="16"/>
              </w:rPr>
              <w:t>podpořené zavedením nových benefitů pro její držitele.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28234A">
              <w:rPr>
                <w:b/>
                <w:sz w:val="16"/>
                <w:szCs w:val="16"/>
              </w:rPr>
              <w:t>V</w:t>
            </w:r>
            <w:r w:rsidRPr="00502BBE">
              <w:rPr>
                <w:b/>
                <w:sz w:val="16"/>
                <w:szCs w:val="16"/>
              </w:rPr>
              <w:t xml:space="preserve">ytvoření atraktivního slevového programu </w:t>
            </w:r>
            <w:r>
              <w:rPr>
                <w:sz w:val="16"/>
                <w:szCs w:val="16"/>
              </w:rPr>
              <w:t>pro držitele opencard se zapojením obchodních partnerů, pro které bude obchodně zajímavý kmen držitelů OC.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Nekomerční využití karty</w:t>
            </w:r>
            <w:r>
              <w:rPr>
                <w:sz w:val="16"/>
                <w:szCs w:val="16"/>
              </w:rPr>
              <w:t xml:space="preserve"> – vstupy do objektů, zaměstnanecká karta, studentská karta.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Expanze využití karty za hranice Prahy generující výnosy z případného prodeje potřebných licencí. 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Budoucí použití karty pro vstup do turniketů metra</w:t>
            </w:r>
            <w:r>
              <w:rPr>
                <w:sz w:val="16"/>
                <w:szCs w:val="16"/>
              </w:rPr>
              <w:t>.</w:t>
            </w:r>
          </w:p>
          <w:p w:rsidR="003F063C" w:rsidRPr="008E5087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Možné budoucí použití karty pro placení mýtného v Praze.</w:t>
            </w:r>
          </w:p>
        </w:tc>
        <w:tc>
          <w:tcPr>
            <w:tcW w:w="2534" w:type="pct"/>
            <w:shd w:val="clear" w:color="auto" w:fill="F2F2F2"/>
          </w:tcPr>
          <w:p w:rsidR="003F063C" w:rsidRPr="00095B84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Vlivem krize </w:t>
            </w:r>
            <w:r w:rsidRPr="00502BBE">
              <w:rPr>
                <w:b/>
                <w:sz w:val="16"/>
                <w:szCs w:val="16"/>
              </w:rPr>
              <w:t xml:space="preserve">neochota komerčního sektoru investovat do projektů </w:t>
            </w:r>
            <w:r>
              <w:rPr>
                <w:sz w:val="16"/>
                <w:szCs w:val="16"/>
              </w:rPr>
              <w:t>s nejistou nebo dlouhodobou návratností.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Nedůvěra trhu ve výnosy z projektů založených na mikroplatbách</w:t>
            </w:r>
            <w:r>
              <w:rPr>
                <w:sz w:val="16"/>
                <w:szCs w:val="16"/>
              </w:rPr>
              <w:t xml:space="preserve"> (nutné investice do rozšíření karty mezi obyvatele a do dostatečně široké akceptační sítě).</w:t>
            </w:r>
          </w:p>
          <w:p w:rsidR="003F063C" w:rsidRPr="00095B84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Neochota obchodních partnerů poskytovat atraktivní slevy držitelům karty v případě, kdy nebudou přesvědčeni o následných výnosech z více-prodeje nebo křížového prodeje. 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4"/>
              </w:numPr>
              <w:ind w:left="358" w:hanging="284"/>
              <w:jc w:val="left"/>
              <w:rPr>
                <w:sz w:val="16"/>
                <w:szCs w:val="16"/>
              </w:rPr>
            </w:pPr>
            <w:r w:rsidRPr="00502BBE">
              <w:rPr>
                <w:b/>
                <w:sz w:val="16"/>
                <w:szCs w:val="16"/>
              </w:rPr>
              <w:t>Neochota držitelů platit za vydání a správu karty</w:t>
            </w:r>
            <w:r>
              <w:rPr>
                <w:sz w:val="16"/>
                <w:szCs w:val="16"/>
              </w:rPr>
              <w:t>, pokud nebude cena vyvážena novými benefity a službami pro držitele.</w:t>
            </w:r>
          </w:p>
          <w:p w:rsidR="003F063C" w:rsidRPr="00DD6BA6" w:rsidRDefault="003F063C" w:rsidP="000B79AA">
            <w:pPr>
              <w:pStyle w:val="ColorfulList-Accent11"/>
              <w:ind w:left="358"/>
              <w:jc w:val="left"/>
              <w:rPr>
                <w:sz w:val="16"/>
                <w:szCs w:val="16"/>
              </w:rPr>
            </w:pPr>
          </w:p>
        </w:tc>
      </w:tr>
    </w:tbl>
    <w:p w:rsidR="003F063C" w:rsidRDefault="003F063C" w:rsidP="000B79AA">
      <w:pPr>
        <w:pStyle w:val="Heading1"/>
        <w:pageBreakBefore/>
      </w:pPr>
      <w:r>
        <w:t>Migrace časových kupónů na opencard</w:t>
      </w:r>
    </w:p>
    <w:p w:rsidR="003F063C" w:rsidRDefault="003F063C" w:rsidP="000B79AA">
      <w:pPr>
        <w:pStyle w:val="Heading2"/>
      </w:pPr>
      <w:r>
        <w:t>Cíle</w:t>
      </w:r>
    </w:p>
    <w:p w:rsidR="003F063C" w:rsidRPr="009D76D5" w:rsidRDefault="003F063C" w:rsidP="000B79AA">
      <w:pPr>
        <w:rPr>
          <w:rFonts w:ascii="Times New Roman" w:hAnsi="Times New Roman" w:cs="Arial"/>
          <w:szCs w:val="20"/>
        </w:rPr>
      </w:pPr>
      <w:r w:rsidRPr="00E9653B">
        <w:rPr>
          <w:rFonts w:cs="Arial"/>
          <w:szCs w:val="20"/>
        </w:rPr>
        <w:t xml:space="preserve">Cílem migrace je </w:t>
      </w:r>
      <w:r w:rsidRPr="00E9653B">
        <w:rPr>
          <w:rFonts w:cs="Arial"/>
          <w:b/>
          <w:szCs w:val="20"/>
        </w:rPr>
        <w:t>zrušení papírových časových kupónů</w:t>
      </w:r>
      <w:r>
        <w:rPr>
          <w:rFonts w:cs="Arial"/>
          <w:b/>
          <w:szCs w:val="20"/>
        </w:rPr>
        <w:t xml:space="preserve"> DPHMP</w:t>
      </w:r>
      <w:r w:rsidRPr="00E9653B">
        <w:rPr>
          <w:rFonts w:cs="Arial"/>
          <w:szCs w:val="20"/>
        </w:rPr>
        <w:t xml:space="preserve"> a jejich </w:t>
      </w:r>
      <w:r w:rsidRPr="00E9653B">
        <w:rPr>
          <w:rFonts w:cs="Arial"/>
          <w:b/>
          <w:szCs w:val="20"/>
        </w:rPr>
        <w:t>převedení na elektronické kupóny opencard</w:t>
      </w:r>
      <w:r w:rsidRPr="00E9653B"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do k</w:t>
      </w:r>
      <w:r w:rsidRPr="00E9653B">
        <w:rPr>
          <w:rFonts w:cs="Arial"/>
          <w:b/>
          <w:szCs w:val="20"/>
        </w:rPr>
        <w:t>once roku 2011</w:t>
      </w:r>
      <w:r w:rsidRPr="00E9653B">
        <w:rPr>
          <w:rFonts w:cs="Arial"/>
          <w:szCs w:val="20"/>
        </w:rPr>
        <w:t xml:space="preserve"> a tím </w:t>
      </w:r>
      <w:r>
        <w:rPr>
          <w:rFonts w:cs="Arial"/>
          <w:szCs w:val="20"/>
        </w:rPr>
        <w:t>splnění</w:t>
      </w:r>
      <w:r w:rsidRPr="00E965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jedné z </w:t>
      </w:r>
      <w:r w:rsidRPr="00E9653B">
        <w:rPr>
          <w:rFonts w:cs="Arial"/>
          <w:szCs w:val="20"/>
        </w:rPr>
        <w:t xml:space="preserve">podmínek pro plánované </w:t>
      </w:r>
      <w:r w:rsidRPr="00E9653B">
        <w:rPr>
          <w:rFonts w:cs="Arial"/>
          <w:b/>
          <w:szCs w:val="20"/>
        </w:rPr>
        <w:t>uzavření systému metra turnikety</w:t>
      </w:r>
      <w:r w:rsidRPr="00E9653B">
        <w:rPr>
          <w:rFonts w:cs="Arial"/>
          <w:szCs w:val="20"/>
        </w:rPr>
        <w:t>. Součástí migrace bude řešení pro zbývající skupiny cestujících v rámci bezplatné přepravy (z důvodu průchodu turnikety).  Migrací všech cestujících dojde k významnému navýšení počtu držitelů opencard a tím k </w:t>
      </w:r>
      <w:r w:rsidRPr="00E9653B">
        <w:rPr>
          <w:rFonts w:cs="Arial"/>
          <w:b/>
          <w:szCs w:val="20"/>
        </w:rPr>
        <w:t>růstu hodnoty nově založené společnosti</w:t>
      </w:r>
      <w:r w:rsidRPr="00E9653B">
        <w:rPr>
          <w:rFonts w:cs="Arial"/>
          <w:szCs w:val="20"/>
        </w:rPr>
        <w:t>.</w:t>
      </w:r>
    </w:p>
    <w:p w:rsidR="003F063C" w:rsidRDefault="003F063C" w:rsidP="000B79AA">
      <w:pPr>
        <w:jc w:val="center"/>
        <w:rPr>
          <w:szCs w:val="20"/>
        </w:rPr>
      </w:pPr>
      <w:r w:rsidRPr="009104EE">
        <w:rPr>
          <w:noProof/>
          <w:szCs w:val="20"/>
          <w:lang w:eastAsia="cs-CZ"/>
        </w:rPr>
        <w:pict>
          <v:shape id="_x0000_i1030" type="#_x0000_t75" style="width:518.25pt;height:159.75pt;visibility:visible">
            <v:imagedata r:id="rId12" o:title=""/>
          </v:shape>
        </w:pict>
      </w:r>
    </w:p>
    <w:p w:rsidR="003F063C" w:rsidRPr="00DB0B7A" w:rsidRDefault="003F063C" w:rsidP="000B79AA">
      <w:pPr>
        <w:pStyle w:val="Heading2"/>
      </w:pPr>
      <w:r w:rsidRPr="00DB0B7A">
        <w:t>Migrace pro rok 2010</w:t>
      </w:r>
    </w:p>
    <w:p w:rsidR="003F063C" w:rsidRPr="00E9653B" w:rsidRDefault="003F063C" w:rsidP="000B79AA">
      <w:r w:rsidRPr="00E9653B">
        <w:t>V ob</w:t>
      </w:r>
      <w:r>
        <w:t>dobí duben až listopad 2010 lze</w:t>
      </w:r>
      <w:r w:rsidRPr="00E9653B">
        <w:t xml:space="preserve"> </w:t>
      </w:r>
      <w:r>
        <w:rPr>
          <w:b/>
        </w:rPr>
        <w:t>plně převést</w:t>
      </w:r>
      <w:r w:rsidRPr="00E9653B">
        <w:rPr>
          <w:b/>
        </w:rPr>
        <w:t xml:space="preserve"> </w:t>
      </w:r>
      <w:r w:rsidRPr="00D63633">
        <w:rPr>
          <w:b/>
        </w:rPr>
        <w:t>na elektronické časové kupóny na opencard 26</w:t>
      </w:r>
      <w:r w:rsidRPr="00E9653B">
        <w:rPr>
          <w:b/>
        </w:rPr>
        <w:t xml:space="preserve">0 – 300 tis. cestujících PID </w:t>
      </w:r>
      <w:r w:rsidRPr="009E7733">
        <w:t>v</w:t>
      </w:r>
      <w:r w:rsidRPr="00E9653B">
        <w:rPr>
          <w:b/>
        </w:rPr>
        <w:t xml:space="preserve"> </w:t>
      </w:r>
      <w:r w:rsidRPr="00E9653B">
        <w:t xml:space="preserve">tarifních skupinách, u kterých neexistují </w:t>
      </w:r>
      <w:r w:rsidRPr="00E9653B">
        <w:rPr>
          <w:b/>
        </w:rPr>
        <w:t>žádné překážky</w:t>
      </w:r>
      <w:r w:rsidRPr="00E9653B">
        <w:t xml:space="preserve"> ukončení fungování papírové varianty kupónů. Jde o skupiny </w:t>
      </w:r>
      <w:r w:rsidRPr="00E9653B">
        <w:rPr>
          <w:b/>
        </w:rPr>
        <w:t>Dítě, Junior, Dospělý a Senior</w:t>
      </w:r>
      <w:r w:rsidRPr="00E9653B">
        <w:t>.</w:t>
      </w:r>
    </w:p>
    <w:p w:rsidR="003F063C" w:rsidRDefault="003F063C" w:rsidP="000B79AA">
      <w:pPr>
        <w:spacing w:before="0" w:after="120"/>
        <w:rPr>
          <w:rFonts w:cs="Arial"/>
          <w:bCs/>
          <w:iCs/>
          <w:szCs w:val="20"/>
        </w:rPr>
      </w:pPr>
      <w:r w:rsidRPr="00E9653B">
        <w:rPr>
          <w:rFonts w:cs="Arial"/>
          <w:b/>
          <w:bCs/>
          <w:iCs/>
          <w:szCs w:val="20"/>
        </w:rPr>
        <w:t xml:space="preserve">V navýšení počtu vydaných karet </w:t>
      </w:r>
      <w:r w:rsidRPr="00E9653B">
        <w:rPr>
          <w:rFonts w:cs="Arial"/>
          <w:bCs/>
          <w:iCs/>
          <w:szCs w:val="20"/>
        </w:rPr>
        <w:t xml:space="preserve">se nucená migrace na elektronické jízdné projeví zvýšením </w:t>
      </w:r>
      <w:r w:rsidRPr="00E9653B">
        <w:rPr>
          <w:rFonts w:cs="Arial"/>
          <w:b/>
          <w:bCs/>
          <w:iCs/>
          <w:szCs w:val="20"/>
        </w:rPr>
        <w:t xml:space="preserve">o </w:t>
      </w:r>
      <w:r w:rsidRPr="00E9653B">
        <w:rPr>
          <w:rFonts w:cs="Arial"/>
          <w:b/>
          <w:szCs w:val="20"/>
        </w:rPr>
        <w:t>200 – 240 tis. opencard</w:t>
      </w:r>
      <w:r w:rsidRPr="00E9653B">
        <w:rPr>
          <w:rFonts w:cs="Arial"/>
          <w:szCs w:val="20"/>
        </w:rPr>
        <w:t xml:space="preserve"> vzhl</w:t>
      </w:r>
      <w:r w:rsidRPr="00E9653B">
        <w:rPr>
          <w:rFonts w:cs="Arial"/>
          <w:bCs/>
          <w:iCs/>
          <w:szCs w:val="20"/>
        </w:rPr>
        <w:t>edem k tomu, že k aktuálnímu datu existuje množství vydaných karet, na které ještě nebyl nahrán žádný elektronický kupón (cca 120 tisíc).</w:t>
      </w:r>
    </w:p>
    <w:tbl>
      <w:tblPr>
        <w:tblW w:w="4911" w:type="pct"/>
        <w:jc w:val="center"/>
        <w:tblBorders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2144"/>
        <w:gridCol w:w="2271"/>
        <w:gridCol w:w="3029"/>
        <w:gridCol w:w="2973"/>
      </w:tblGrid>
      <w:tr w:rsidR="003F063C" w:rsidRPr="00B02BC3">
        <w:trPr>
          <w:trHeight w:val="193"/>
          <w:jc w:val="center"/>
        </w:trPr>
        <w:tc>
          <w:tcPr>
            <w:tcW w:w="1029" w:type="pct"/>
            <w:tcBorders>
              <w:top w:val="nil"/>
              <w:right w:val="single" w:sz="2" w:space="0" w:color="FFFFFF"/>
            </w:tcBorders>
            <w:shd w:val="clear" w:color="auto" w:fill="76923C"/>
            <w:vAlign w:val="center"/>
          </w:tcPr>
          <w:p w:rsidR="003F063C" w:rsidRPr="0049546F" w:rsidRDefault="003F063C" w:rsidP="000B79AA">
            <w:pPr>
              <w:spacing w:before="0" w:after="0"/>
              <w:ind w:right="-208"/>
              <w:jc w:val="left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Migrace 2010</w:t>
            </w:r>
          </w:p>
        </w:tc>
        <w:tc>
          <w:tcPr>
            <w:tcW w:w="1090" w:type="pct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76923C"/>
            <w:vAlign w:val="center"/>
          </w:tcPr>
          <w:p w:rsidR="003F063C" w:rsidRPr="0049546F" w:rsidRDefault="003F063C" w:rsidP="000B79AA">
            <w:pPr>
              <w:spacing w:before="0" w:after="0"/>
              <w:ind w:right="-208"/>
              <w:jc w:val="center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Tarifní skupina</w:t>
            </w:r>
          </w:p>
        </w:tc>
        <w:tc>
          <w:tcPr>
            <w:tcW w:w="1454" w:type="pct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76923C"/>
            <w:vAlign w:val="center"/>
          </w:tcPr>
          <w:p w:rsidR="003F063C" w:rsidRDefault="003F063C" w:rsidP="000B79AA">
            <w:pPr>
              <w:spacing w:before="0" w:after="0"/>
              <w:ind w:right="-208"/>
              <w:jc w:val="center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 xml:space="preserve">Typ papírových </w:t>
            </w:r>
          </w:p>
          <w:p w:rsidR="003F063C" w:rsidRPr="0049546F" w:rsidRDefault="003F063C" w:rsidP="000B79AA">
            <w:pPr>
              <w:spacing w:before="0" w:after="0"/>
              <w:ind w:right="-208"/>
              <w:jc w:val="center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časových</w:t>
            </w:r>
            <w:r>
              <w:rPr>
                <w:b/>
                <w:color w:val="FFFFFF"/>
                <w:sz w:val="16"/>
                <w:szCs w:val="16"/>
              </w:rPr>
              <w:t xml:space="preserve"> </w:t>
            </w:r>
            <w:r w:rsidRPr="0049546F">
              <w:rPr>
                <w:b/>
                <w:color w:val="FFFFFF"/>
                <w:sz w:val="16"/>
                <w:szCs w:val="16"/>
              </w:rPr>
              <w:t>kupónů</w:t>
            </w:r>
          </w:p>
        </w:tc>
        <w:tc>
          <w:tcPr>
            <w:tcW w:w="1427" w:type="pct"/>
            <w:tcBorders>
              <w:top w:val="nil"/>
              <w:left w:val="single" w:sz="2" w:space="0" w:color="FFFFFF"/>
            </w:tcBorders>
            <w:shd w:val="clear" w:color="auto" w:fill="76923C"/>
            <w:vAlign w:val="center"/>
          </w:tcPr>
          <w:p w:rsidR="003F063C" w:rsidRPr="0049546F" w:rsidRDefault="003F063C" w:rsidP="000B79AA">
            <w:pPr>
              <w:spacing w:before="0" w:after="0"/>
              <w:ind w:right="-208"/>
              <w:jc w:val="center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Návrh ukončení prodeje</w:t>
            </w:r>
            <w:r>
              <w:rPr>
                <w:b/>
                <w:color w:val="FFFFFF"/>
                <w:sz w:val="16"/>
                <w:szCs w:val="16"/>
              </w:rPr>
              <w:t xml:space="preserve"> kupónu v papírové podobě</w:t>
            </w:r>
          </w:p>
        </w:tc>
      </w:tr>
      <w:tr w:rsidR="003F063C" w:rsidRPr="00B02BC3">
        <w:trPr>
          <w:trHeight w:val="513"/>
          <w:jc w:val="center"/>
        </w:trPr>
        <w:tc>
          <w:tcPr>
            <w:tcW w:w="1029" w:type="pct"/>
            <w:shd w:val="clear" w:color="auto" w:fill="FFFFCC"/>
            <w:vAlign w:val="center"/>
          </w:tcPr>
          <w:p w:rsidR="003F063C" w:rsidRPr="00B02BC3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B02BC3">
              <w:rPr>
                <w:b/>
                <w:sz w:val="16"/>
                <w:szCs w:val="16"/>
              </w:rPr>
              <w:t>1. vlna</w:t>
            </w:r>
          </w:p>
        </w:tc>
        <w:tc>
          <w:tcPr>
            <w:tcW w:w="1090" w:type="pct"/>
            <w:shd w:val="clear" w:color="auto" w:fill="F2F2F2"/>
            <w:vAlign w:val="center"/>
          </w:tcPr>
          <w:p w:rsidR="003F063C" w:rsidRPr="00B02BC3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B02BC3">
              <w:rPr>
                <w:sz w:val="16"/>
                <w:szCs w:val="16"/>
              </w:rPr>
              <w:t>Dítě, Junior</w:t>
            </w:r>
          </w:p>
        </w:tc>
        <w:tc>
          <w:tcPr>
            <w:tcW w:w="1454" w:type="pct"/>
            <w:shd w:val="clear" w:color="auto" w:fill="F2F2F2"/>
            <w:vAlign w:val="center"/>
          </w:tcPr>
          <w:p w:rsidR="003F063C" w:rsidRPr="00B02BC3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B02BC3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enní</w:t>
            </w:r>
            <w:r w:rsidRPr="00B02BC3">
              <w:rPr>
                <w:sz w:val="16"/>
                <w:szCs w:val="16"/>
              </w:rPr>
              <w:t xml:space="preserve"> a měsíční</w:t>
            </w:r>
          </w:p>
          <w:p w:rsidR="003F063C" w:rsidRPr="00B02BC3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Pr="00B02BC3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enní</w:t>
            </w:r>
            <w:r w:rsidRPr="00B02BC3">
              <w:rPr>
                <w:sz w:val="16"/>
                <w:szCs w:val="16"/>
              </w:rPr>
              <w:t xml:space="preserve"> a čtvrtletní</w:t>
            </w:r>
          </w:p>
        </w:tc>
        <w:tc>
          <w:tcPr>
            <w:tcW w:w="1427" w:type="pct"/>
            <w:shd w:val="clear" w:color="auto" w:fill="F2F2F2"/>
            <w:vAlign w:val="center"/>
          </w:tcPr>
          <w:p w:rsidR="003F063C" w:rsidRPr="00B02BC3" w:rsidRDefault="003F063C" w:rsidP="000B79AA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B02BC3">
              <w:rPr>
                <w:b/>
                <w:sz w:val="16"/>
                <w:szCs w:val="16"/>
              </w:rPr>
              <w:t>12.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2BC3">
              <w:rPr>
                <w:b/>
                <w:sz w:val="16"/>
                <w:szCs w:val="16"/>
              </w:rPr>
              <w:t>6.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2BC3">
              <w:rPr>
                <w:b/>
                <w:sz w:val="16"/>
                <w:szCs w:val="16"/>
              </w:rPr>
              <w:t>2010</w:t>
            </w:r>
          </w:p>
        </w:tc>
      </w:tr>
      <w:tr w:rsidR="003F063C" w:rsidRPr="00B02BC3">
        <w:trPr>
          <w:trHeight w:val="219"/>
          <w:jc w:val="center"/>
        </w:trPr>
        <w:tc>
          <w:tcPr>
            <w:tcW w:w="1029" w:type="pct"/>
            <w:shd w:val="clear" w:color="auto" w:fill="FFFFCC"/>
            <w:vAlign w:val="center"/>
          </w:tcPr>
          <w:p w:rsidR="003F063C" w:rsidRPr="00B02BC3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B02BC3">
              <w:rPr>
                <w:b/>
                <w:sz w:val="16"/>
                <w:szCs w:val="16"/>
              </w:rPr>
              <w:t>2. vlna</w:t>
            </w:r>
          </w:p>
        </w:tc>
        <w:tc>
          <w:tcPr>
            <w:tcW w:w="1090" w:type="pct"/>
            <w:shd w:val="clear" w:color="auto" w:fill="F2F2F2"/>
            <w:vAlign w:val="center"/>
          </w:tcPr>
          <w:p w:rsidR="003F063C" w:rsidRPr="00B02BC3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B02BC3">
              <w:rPr>
                <w:sz w:val="16"/>
                <w:szCs w:val="16"/>
              </w:rPr>
              <w:t>Dospělý, Senior</w:t>
            </w:r>
          </w:p>
        </w:tc>
        <w:tc>
          <w:tcPr>
            <w:tcW w:w="1454" w:type="pct"/>
            <w:shd w:val="clear" w:color="auto" w:fill="F2F2F2"/>
            <w:vAlign w:val="center"/>
          </w:tcPr>
          <w:p w:rsidR="003F063C" w:rsidRPr="00B02BC3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B02BC3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enní</w:t>
            </w:r>
            <w:r w:rsidRPr="00B02BC3">
              <w:rPr>
                <w:sz w:val="16"/>
                <w:szCs w:val="16"/>
              </w:rPr>
              <w:t xml:space="preserve"> a měsíční</w:t>
            </w:r>
          </w:p>
          <w:p w:rsidR="003F063C" w:rsidRPr="00B02BC3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B02BC3">
              <w:rPr>
                <w:sz w:val="16"/>
                <w:szCs w:val="16"/>
              </w:rPr>
              <w:t>90d</w:t>
            </w:r>
            <w:r>
              <w:rPr>
                <w:sz w:val="16"/>
                <w:szCs w:val="16"/>
              </w:rPr>
              <w:t>enní</w:t>
            </w:r>
            <w:r w:rsidRPr="00B02BC3">
              <w:rPr>
                <w:sz w:val="16"/>
                <w:szCs w:val="16"/>
              </w:rPr>
              <w:t xml:space="preserve"> a čtvrtletní</w:t>
            </w:r>
          </w:p>
        </w:tc>
        <w:tc>
          <w:tcPr>
            <w:tcW w:w="1427" w:type="pct"/>
            <w:shd w:val="clear" w:color="auto" w:fill="F2F2F2"/>
            <w:vAlign w:val="center"/>
          </w:tcPr>
          <w:p w:rsidR="003F063C" w:rsidRPr="00B02BC3" w:rsidRDefault="003F063C" w:rsidP="000B79AA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B02BC3">
              <w:rPr>
                <w:b/>
                <w:sz w:val="16"/>
                <w:szCs w:val="16"/>
              </w:rPr>
              <w:t>13.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2BC3">
              <w:rPr>
                <w:b/>
                <w:sz w:val="16"/>
                <w:szCs w:val="16"/>
              </w:rPr>
              <w:t>11.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2BC3">
              <w:rPr>
                <w:b/>
                <w:sz w:val="16"/>
                <w:szCs w:val="16"/>
              </w:rPr>
              <w:t>2010</w:t>
            </w:r>
          </w:p>
        </w:tc>
      </w:tr>
    </w:tbl>
    <w:p w:rsidR="003F063C" w:rsidRPr="009D76D5" w:rsidRDefault="003F063C" w:rsidP="000B79AA">
      <w:pPr>
        <w:spacing w:before="240"/>
        <w:rPr>
          <w:rFonts w:cs="Arial"/>
          <w:szCs w:val="20"/>
        </w:rPr>
      </w:pPr>
      <w:r w:rsidRPr="00E9653B">
        <w:rPr>
          <w:rFonts w:cs="Arial"/>
          <w:b/>
          <w:szCs w:val="20"/>
        </w:rPr>
        <w:t>Skupiny cestujících, u kterých existují překážky</w:t>
      </w:r>
      <w:r w:rsidRPr="00E9653B">
        <w:rPr>
          <w:rFonts w:cs="Arial"/>
          <w:szCs w:val="20"/>
        </w:rPr>
        <w:t xml:space="preserve"> pro jejich obsluhu prostřednictvím existující distribuční sítě DOS, budou </w:t>
      </w:r>
      <w:r w:rsidRPr="00E9653B">
        <w:rPr>
          <w:rFonts w:cs="Arial"/>
          <w:b/>
          <w:szCs w:val="20"/>
        </w:rPr>
        <w:t>migrovány po roce 2010</w:t>
      </w:r>
      <w:r w:rsidRPr="00E9653B">
        <w:rPr>
          <w:rFonts w:cs="Arial"/>
          <w:szCs w:val="20"/>
        </w:rPr>
        <w:t>. Jde o tarifní skupinu Student a cestující PID mimo pásmo 0+P, kteří nedojíždějí do</w:t>
      </w:r>
      <w:r>
        <w:rPr>
          <w:rFonts w:cs="Arial"/>
          <w:szCs w:val="20"/>
        </w:rPr>
        <w:t> </w:t>
      </w:r>
      <w:r w:rsidRPr="00E9653B">
        <w:rPr>
          <w:rFonts w:cs="Arial"/>
          <w:szCs w:val="20"/>
        </w:rPr>
        <w:t>Prahy. Očekává se, že náklady na převod těchto skupin cestujících budou v přepočtu na jednotku vyšší z důvodů potřeby vybudování distribuční sítě a úprav DOS.</w:t>
      </w:r>
    </w:p>
    <w:p w:rsidR="003F063C" w:rsidRPr="00E9653B" w:rsidRDefault="003F063C" w:rsidP="000B79AA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Pro úspěšné zajištění migrace v daném čase se předpokládá, že opencard bude po definovanou dobu během migrace vydávána zdarma.</w:t>
      </w:r>
    </w:p>
    <w:p w:rsidR="003F063C" w:rsidRPr="009D76D5" w:rsidRDefault="003F063C" w:rsidP="000B79AA">
      <w:pPr>
        <w:rPr>
          <w:b/>
          <w:color w:val="4F6228"/>
          <w:szCs w:val="20"/>
        </w:rPr>
      </w:pPr>
      <w:r w:rsidRPr="00212CCE">
        <w:rPr>
          <w:b/>
          <w:color w:val="4F6228"/>
          <w:szCs w:val="20"/>
        </w:rPr>
        <w:t>Výchozí podmínky a omezení migrace</w:t>
      </w:r>
    </w:p>
    <w:p w:rsidR="003F063C" w:rsidRPr="00E9653B" w:rsidRDefault="003F063C" w:rsidP="000B79AA">
      <w:pPr>
        <w:spacing w:after="0"/>
        <w:rPr>
          <w:rFonts w:cs="Arial"/>
          <w:szCs w:val="20"/>
        </w:rPr>
      </w:pPr>
      <w:r w:rsidRPr="00E9653B">
        <w:rPr>
          <w:rFonts w:cs="Arial"/>
          <w:szCs w:val="20"/>
        </w:rPr>
        <w:t>Průběh dalšího</w:t>
      </w:r>
      <w:r w:rsidRPr="00E9653B">
        <w:rPr>
          <w:rFonts w:cs="Arial"/>
          <w:b/>
          <w:szCs w:val="20"/>
        </w:rPr>
        <w:t xml:space="preserve"> převodu cestujících PID</w:t>
      </w:r>
      <w:r w:rsidRPr="00E9653B">
        <w:rPr>
          <w:rFonts w:cs="Arial"/>
          <w:szCs w:val="20"/>
        </w:rPr>
        <w:t xml:space="preserve"> s papírovými časovými kupóny na opencard bude vymezen zejména n</w:t>
      </w:r>
      <w:r>
        <w:rPr>
          <w:rFonts w:cs="Arial"/>
          <w:szCs w:val="20"/>
        </w:rPr>
        <w:t>ásledujícími limity a omezeními</w:t>
      </w:r>
      <w:r w:rsidRPr="00E9653B">
        <w:rPr>
          <w:rFonts w:cs="Arial"/>
          <w:szCs w:val="20"/>
        </w:rPr>
        <w:t>:</w:t>
      </w:r>
    </w:p>
    <w:p w:rsidR="003F063C" w:rsidRPr="00C85C46" w:rsidRDefault="003F063C" w:rsidP="00184A4C">
      <w:pPr>
        <w:pStyle w:val="ColorfulList-Accent11"/>
        <w:numPr>
          <w:ilvl w:val="0"/>
          <w:numId w:val="8"/>
        </w:numPr>
        <w:spacing w:before="40" w:after="40"/>
        <w:rPr>
          <w:szCs w:val="20"/>
        </w:rPr>
      </w:pPr>
      <w:r w:rsidRPr="00C85C46">
        <w:rPr>
          <w:szCs w:val="20"/>
        </w:rPr>
        <w:t>Distribuční kapacity kontaktních míst DOS pro nákup a nahrávání kupónů (předpokládá se, že pro sběr žádostí o vydání opencard bude PCKS využívat kapacit DPHMP);</w:t>
      </w:r>
    </w:p>
    <w:p w:rsidR="003F063C" w:rsidRPr="00C85C46" w:rsidRDefault="003F063C" w:rsidP="00184A4C">
      <w:pPr>
        <w:pStyle w:val="ColorfulList-Accent11"/>
        <w:numPr>
          <w:ilvl w:val="0"/>
          <w:numId w:val="8"/>
        </w:numPr>
        <w:spacing w:before="40" w:after="40"/>
        <w:rPr>
          <w:szCs w:val="20"/>
        </w:rPr>
      </w:pPr>
      <w:r w:rsidRPr="00C85C46">
        <w:rPr>
          <w:szCs w:val="20"/>
        </w:rPr>
        <w:t>Absence distribuční sítě DOS kupónů mimo území Prahy;</w:t>
      </w:r>
    </w:p>
    <w:p w:rsidR="003F063C" w:rsidRPr="00C85C46" w:rsidRDefault="003F063C" w:rsidP="00184A4C">
      <w:pPr>
        <w:pStyle w:val="ColorfulList-Accent11"/>
        <w:numPr>
          <w:ilvl w:val="0"/>
          <w:numId w:val="8"/>
        </w:numPr>
        <w:spacing w:before="40" w:after="40"/>
        <w:ind w:left="714" w:hanging="357"/>
        <w:rPr>
          <w:szCs w:val="20"/>
        </w:rPr>
      </w:pPr>
      <w:r w:rsidRPr="00C85C46">
        <w:rPr>
          <w:szCs w:val="20"/>
        </w:rPr>
        <w:t>Nedokončená síť validátorů opencard, zejména jejich absence na trase metra A;</w:t>
      </w:r>
    </w:p>
    <w:p w:rsidR="003F063C" w:rsidRPr="00C85C46" w:rsidRDefault="003F063C" w:rsidP="00184A4C">
      <w:pPr>
        <w:pStyle w:val="ColorfulList-Accent11"/>
        <w:numPr>
          <w:ilvl w:val="0"/>
          <w:numId w:val="8"/>
        </w:numPr>
        <w:spacing w:before="40" w:after="40"/>
        <w:rPr>
          <w:szCs w:val="20"/>
        </w:rPr>
      </w:pPr>
      <w:r w:rsidRPr="00C85C46">
        <w:rPr>
          <w:szCs w:val="20"/>
        </w:rPr>
        <w:t>Nerealizovaná integrace opencard a studentských karet pražských vysokých škol;</w:t>
      </w:r>
    </w:p>
    <w:p w:rsidR="003F063C" w:rsidRPr="00C85C46" w:rsidRDefault="003F063C" w:rsidP="00184A4C">
      <w:pPr>
        <w:pStyle w:val="ColorfulList-Accent11"/>
        <w:numPr>
          <w:ilvl w:val="0"/>
          <w:numId w:val="8"/>
        </w:numPr>
        <w:spacing w:before="40" w:after="40"/>
        <w:rPr>
          <w:szCs w:val="20"/>
        </w:rPr>
      </w:pPr>
      <w:r w:rsidRPr="00C85C46">
        <w:rPr>
          <w:szCs w:val="20"/>
        </w:rPr>
        <w:t>Fungování papírových průkazek PID jako dokladů pro čerpání slev;</w:t>
      </w:r>
    </w:p>
    <w:p w:rsidR="003F063C" w:rsidRDefault="003F063C" w:rsidP="00184A4C">
      <w:pPr>
        <w:pStyle w:val="ColorfulList-Accent11"/>
        <w:numPr>
          <w:ilvl w:val="0"/>
          <w:numId w:val="8"/>
        </w:numPr>
        <w:spacing w:before="40" w:after="40"/>
        <w:rPr>
          <w:szCs w:val="20"/>
        </w:rPr>
      </w:pPr>
      <w:r w:rsidRPr="00C85C46">
        <w:rPr>
          <w:szCs w:val="20"/>
        </w:rPr>
        <w:t>Nenávaznost na průkazky středočeského kraje – děti a studenti jezdí ve středočeském kraji zdarma.</w:t>
      </w:r>
    </w:p>
    <w:p w:rsidR="003F063C" w:rsidRPr="00DB0B7A" w:rsidRDefault="003F063C" w:rsidP="000B79AA">
      <w:pPr>
        <w:pStyle w:val="Heading2"/>
        <w:spacing w:before="120" w:after="80"/>
      </w:pPr>
      <w:r>
        <w:t>Další postup</w:t>
      </w:r>
    </w:p>
    <w:p w:rsidR="003F063C" w:rsidRPr="00C85C46" w:rsidRDefault="003F063C" w:rsidP="00184A4C">
      <w:pPr>
        <w:pStyle w:val="ColorfulList-Accent11"/>
        <w:numPr>
          <w:ilvl w:val="0"/>
          <w:numId w:val="10"/>
        </w:numPr>
        <w:spacing w:before="40" w:after="40"/>
        <w:ind w:left="714" w:hanging="357"/>
        <w:rPr>
          <w:szCs w:val="20"/>
        </w:rPr>
      </w:pPr>
      <w:r w:rsidRPr="00C85C46">
        <w:rPr>
          <w:szCs w:val="20"/>
        </w:rPr>
        <w:t>Zajistit zahájení příprav migrace (sestavení řídících struktur projektu, příprava detailního projektového plánu včetně časového harmonogramu a jeho odsouhlasení všemi zúčastněnými partnery DPHMP, MHMP, ROPID, Haguess);</w:t>
      </w:r>
    </w:p>
    <w:p w:rsidR="003F063C" w:rsidRPr="00C85C46" w:rsidRDefault="003F063C" w:rsidP="00184A4C">
      <w:pPr>
        <w:pStyle w:val="ColorfulList-Accent11"/>
        <w:numPr>
          <w:ilvl w:val="0"/>
          <w:numId w:val="10"/>
        </w:numPr>
        <w:spacing w:before="40" w:after="40"/>
        <w:ind w:left="714" w:hanging="357"/>
        <w:rPr>
          <w:szCs w:val="20"/>
        </w:rPr>
      </w:pPr>
      <w:r w:rsidRPr="00C85C46">
        <w:rPr>
          <w:szCs w:val="20"/>
        </w:rPr>
        <w:t xml:space="preserve">Zajistit </w:t>
      </w:r>
      <w:r>
        <w:rPr>
          <w:szCs w:val="20"/>
        </w:rPr>
        <w:t xml:space="preserve">a odsouhlasit </w:t>
      </w:r>
      <w:r w:rsidRPr="00C85C46">
        <w:rPr>
          <w:szCs w:val="20"/>
        </w:rPr>
        <w:t>financování projektu;</w:t>
      </w:r>
    </w:p>
    <w:p w:rsidR="003F063C" w:rsidRPr="00C85C46" w:rsidRDefault="003F063C" w:rsidP="00184A4C">
      <w:pPr>
        <w:pStyle w:val="ColorfulList-Accent11"/>
        <w:numPr>
          <w:ilvl w:val="0"/>
          <w:numId w:val="10"/>
        </w:numPr>
        <w:spacing w:before="40" w:after="40"/>
        <w:ind w:left="714" w:hanging="357"/>
        <w:rPr>
          <w:szCs w:val="20"/>
        </w:rPr>
      </w:pPr>
      <w:r w:rsidRPr="00C85C46">
        <w:rPr>
          <w:szCs w:val="20"/>
        </w:rPr>
        <w:t>Vypracovat detailní komunikační a marketingový plán pro podporu migrace.</w:t>
      </w:r>
    </w:p>
    <w:p w:rsidR="003F063C" w:rsidRDefault="003F063C" w:rsidP="000B79AA">
      <w:pPr>
        <w:pStyle w:val="Heading1"/>
      </w:pPr>
      <w:r>
        <w:t>Návrh nových služeb na opencard</w:t>
      </w:r>
    </w:p>
    <w:p w:rsidR="003F063C" w:rsidRPr="00BB4FBB" w:rsidRDefault="003F063C" w:rsidP="000B79AA">
      <w:pPr>
        <w:rPr>
          <w:szCs w:val="19"/>
        </w:rPr>
      </w:pPr>
      <w:r w:rsidRPr="00272FE4">
        <w:rPr>
          <w:szCs w:val="19"/>
        </w:rPr>
        <w:t xml:space="preserve">Zkušenosti </w:t>
      </w:r>
      <w:r>
        <w:rPr>
          <w:szCs w:val="19"/>
        </w:rPr>
        <w:t xml:space="preserve">z </w:t>
      </w:r>
      <w:r w:rsidRPr="00272FE4">
        <w:rPr>
          <w:szCs w:val="19"/>
        </w:rPr>
        <w:t xml:space="preserve">úspěšných </w:t>
      </w:r>
      <w:r>
        <w:rPr>
          <w:szCs w:val="19"/>
        </w:rPr>
        <w:t xml:space="preserve">zahraničních </w:t>
      </w:r>
      <w:r w:rsidRPr="00272FE4">
        <w:rPr>
          <w:szCs w:val="19"/>
        </w:rPr>
        <w:t xml:space="preserve">projektů vystavěných na bázi multifunkčních karet </w:t>
      </w:r>
      <w:r>
        <w:rPr>
          <w:szCs w:val="19"/>
        </w:rPr>
        <w:t xml:space="preserve">prokázaly, že kromě využití karty v dopravě lze úspěšně realizovat </w:t>
      </w:r>
      <w:r w:rsidRPr="009908A4">
        <w:rPr>
          <w:b/>
          <w:szCs w:val="19"/>
        </w:rPr>
        <w:t>dodatečné výnosy</w:t>
      </w:r>
      <w:r>
        <w:rPr>
          <w:szCs w:val="19"/>
        </w:rPr>
        <w:t xml:space="preserve"> </w:t>
      </w:r>
      <w:r w:rsidRPr="003333BD">
        <w:rPr>
          <w:b/>
          <w:szCs w:val="19"/>
        </w:rPr>
        <w:t>z komerčního využití karty</w:t>
      </w:r>
      <w:r>
        <w:rPr>
          <w:szCs w:val="19"/>
        </w:rPr>
        <w:t xml:space="preserve"> v rámci </w:t>
      </w:r>
      <w:r w:rsidRPr="009908A4">
        <w:rPr>
          <w:b/>
          <w:szCs w:val="19"/>
        </w:rPr>
        <w:t>slevových a</w:t>
      </w:r>
      <w:r>
        <w:rPr>
          <w:b/>
          <w:szCs w:val="19"/>
        </w:rPr>
        <w:t> </w:t>
      </w:r>
      <w:r w:rsidRPr="009908A4">
        <w:rPr>
          <w:b/>
          <w:szCs w:val="19"/>
        </w:rPr>
        <w:t>věrnostních programů</w:t>
      </w:r>
      <w:r>
        <w:rPr>
          <w:szCs w:val="19"/>
        </w:rPr>
        <w:t xml:space="preserve"> a dále při použití </w:t>
      </w:r>
      <w:r w:rsidRPr="009908A4">
        <w:rPr>
          <w:b/>
          <w:szCs w:val="19"/>
        </w:rPr>
        <w:t>platební funkcionality karty</w:t>
      </w:r>
      <w:r>
        <w:rPr>
          <w:szCs w:val="19"/>
        </w:rPr>
        <w:t xml:space="preserve">. </w:t>
      </w:r>
    </w:p>
    <w:p w:rsidR="003F063C" w:rsidRDefault="003F063C" w:rsidP="000B79AA">
      <w:pPr>
        <w:rPr>
          <w:szCs w:val="19"/>
        </w:rPr>
      </w:pPr>
      <w:r>
        <w:rPr>
          <w:szCs w:val="19"/>
        </w:rPr>
        <w:t xml:space="preserve">Výchozím předpokladem pro realizaci dodatečných výnosů je existence </w:t>
      </w:r>
      <w:r w:rsidRPr="009908A4">
        <w:rPr>
          <w:b/>
          <w:szCs w:val="19"/>
        </w:rPr>
        <w:t xml:space="preserve">dostatečně velkého kmene aktivních uživatelů karty, </w:t>
      </w:r>
      <w:r w:rsidRPr="009908A4">
        <w:rPr>
          <w:szCs w:val="19"/>
        </w:rPr>
        <w:t xml:space="preserve">jehož </w:t>
      </w:r>
      <w:r w:rsidRPr="00514C7E">
        <w:rPr>
          <w:b/>
          <w:szCs w:val="19"/>
        </w:rPr>
        <w:t>obchodní potenciál</w:t>
      </w:r>
      <w:r w:rsidRPr="009908A4">
        <w:rPr>
          <w:szCs w:val="19"/>
        </w:rPr>
        <w:t xml:space="preserve"> bude </w:t>
      </w:r>
      <w:r>
        <w:rPr>
          <w:szCs w:val="19"/>
        </w:rPr>
        <w:t>natolik</w:t>
      </w:r>
      <w:r w:rsidRPr="009908A4">
        <w:rPr>
          <w:szCs w:val="19"/>
        </w:rPr>
        <w:t xml:space="preserve"> </w:t>
      </w:r>
      <w:r>
        <w:rPr>
          <w:szCs w:val="19"/>
        </w:rPr>
        <w:t>zajímavý pro </w:t>
      </w:r>
      <w:r w:rsidRPr="009908A4">
        <w:rPr>
          <w:szCs w:val="19"/>
        </w:rPr>
        <w:t>obchodní partnery, že budou ochotni se</w:t>
      </w:r>
      <w:r>
        <w:rPr>
          <w:b/>
          <w:szCs w:val="19"/>
        </w:rPr>
        <w:t xml:space="preserve"> </w:t>
      </w:r>
      <w:r>
        <w:rPr>
          <w:szCs w:val="19"/>
        </w:rPr>
        <w:t xml:space="preserve">zapojit do věrnostního programu nebo do sítě akceptačních míst pro platby provedené touto kartou. V případě, že dojde k rozšíření karty a ověření obchodního potenciálu kmene jejích držitelů, je možné </w:t>
      </w:r>
      <w:r w:rsidRPr="007445FB">
        <w:rPr>
          <w:b/>
          <w:szCs w:val="19"/>
        </w:rPr>
        <w:t>v budoucnu</w:t>
      </w:r>
      <w:r>
        <w:rPr>
          <w:szCs w:val="19"/>
        </w:rPr>
        <w:t xml:space="preserve"> </w:t>
      </w:r>
      <w:r w:rsidRPr="006601A0">
        <w:rPr>
          <w:b/>
          <w:szCs w:val="19"/>
        </w:rPr>
        <w:t>zpoplatnit účast obchodních partnerů ve výše uvedených obchodních modelech</w:t>
      </w:r>
      <w:r>
        <w:rPr>
          <w:b/>
          <w:szCs w:val="19"/>
        </w:rPr>
        <w:t>,</w:t>
      </w:r>
      <w:r w:rsidRPr="00514C7E">
        <w:rPr>
          <w:b/>
          <w:szCs w:val="19"/>
        </w:rPr>
        <w:t xml:space="preserve"> </w:t>
      </w:r>
      <w:r>
        <w:rPr>
          <w:szCs w:val="19"/>
        </w:rPr>
        <w:t>a tedy generovat další výnosy pro projekt.</w:t>
      </w:r>
    </w:p>
    <w:p w:rsidR="003F063C" w:rsidRDefault="003F063C" w:rsidP="000B79AA">
      <w:pPr>
        <w:rPr>
          <w:szCs w:val="19"/>
        </w:rPr>
      </w:pPr>
      <w:r>
        <w:rPr>
          <w:szCs w:val="19"/>
        </w:rPr>
        <w:t xml:space="preserve">V okamžiku, kdy dojde k zavedení nových benefitů ve formě věrnostního programu nabízejícího atraktivní možnosti nákupu (slevy nebo unikátní „klubové“ produkty a služby) nebo k vybudování široké akceptační sítě pro elektronické platby pomocí karty, se zvýší </w:t>
      </w:r>
      <w:r w:rsidRPr="00514C7E">
        <w:rPr>
          <w:b/>
          <w:szCs w:val="19"/>
        </w:rPr>
        <w:t xml:space="preserve">ochota držitelů platit </w:t>
      </w:r>
      <w:r>
        <w:rPr>
          <w:b/>
          <w:szCs w:val="19"/>
        </w:rPr>
        <w:t>vyšší poplatky spojené s vydáním a správou karty</w:t>
      </w:r>
      <w:r>
        <w:rPr>
          <w:szCs w:val="19"/>
        </w:rPr>
        <w:t xml:space="preserve">. </w:t>
      </w:r>
    </w:p>
    <w:p w:rsidR="003F063C" w:rsidRDefault="003F063C" w:rsidP="000B79AA">
      <w:pPr>
        <w:pStyle w:val="Heading2"/>
        <w:spacing w:before="120" w:after="80"/>
      </w:pPr>
      <w:r>
        <w:t>Cíle</w:t>
      </w:r>
    </w:p>
    <w:p w:rsidR="003F063C" w:rsidRDefault="003F063C" w:rsidP="000B79AA">
      <w:r w:rsidRPr="00E9653B">
        <w:t>Zavedení nových služeb</w:t>
      </w:r>
      <w:r>
        <w:t xml:space="preserve"> na opencard má tři hlavní cíle:</w:t>
      </w:r>
      <w:r w:rsidRPr="00E9653B">
        <w:t xml:space="preserve"> </w:t>
      </w:r>
    </w:p>
    <w:p w:rsidR="003F063C" w:rsidRPr="00E9653B" w:rsidRDefault="003F063C" w:rsidP="00184A4C">
      <w:pPr>
        <w:pStyle w:val="ColorfulList-Accent11"/>
        <w:numPr>
          <w:ilvl w:val="0"/>
          <w:numId w:val="8"/>
        </w:numPr>
      </w:pPr>
      <w:r w:rsidRPr="00E20D38">
        <w:rPr>
          <w:b/>
        </w:rPr>
        <w:t>P</w:t>
      </w:r>
      <w:r w:rsidRPr="00866071">
        <w:rPr>
          <w:b/>
        </w:rPr>
        <w:t>oskytnout držitelům karty atraktivní benefity</w:t>
      </w:r>
      <w:r w:rsidRPr="00E9653B">
        <w:t xml:space="preserve"> a </w:t>
      </w:r>
      <w:r>
        <w:t xml:space="preserve">skutečně tak z opencard vytvořit </w:t>
      </w:r>
      <w:r w:rsidRPr="00E9653B">
        <w:t>praktický prostředek pro</w:t>
      </w:r>
      <w:r>
        <w:t> </w:t>
      </w:r>
      <w:r w:rsidRPr="00E9653B">
        <w:t>každodenní využití</w:t>
      </w:r>
      <w:r>
        <w:t>.</w:t>
      </w:r>
    </w:p>
    <w:p w:rsidR="003F063C" w:rsidRPr="00E9653B" w:rsidRDefault="003F063C" w:rsidP="00184A4C">
      <w:pPr>
        <w:pStyle w:val="ColorfulList-Accent11"/>
        <w:numPr>
          <w:ilvl w:val="0"/>
          <w:numId w:val="7"/>
        </w:numPr>
      </w:pPr>
      <w:r w:rsidRPr="0003326B">
        <w:rPr>
          <w:b/>
        </w:rPr>
        <w:t>Zvýšit hodnotu opencard pro její stávající i potenciální držitele</w:t>
      </w:r>
      <w:r w:rsidRPr="00E9653B">
        <w:t xml:space="preserve"> a tím </w:t>
      </w:r>
      <w:r w:rsidRPr="0003326B">
        <w:rPr>
          <w:b/>
        </w:rPr>
        <w:t>umožnit zpoplatnění karty</w:t>
      </w:r>
      <w:r>
        <w:t xml:space="preserve"> – žadatel o </w:t>
      </w:r>
      <w:r w:rsidRPr="00E9653B">
        <w:t>opencard by měl být ochoten za zís</w:t>
      </w:r>
      <w:r>
        <w:t>kání atraktivních, dostupných a </w:t>
      </w:r>
      <w:r w:rsidRPr="00E9653B">
        <w:t>fungujících benefitů za opencard zaplatit</w:t>
      </w:r>
      <w:r>
        <w:t>.</w:t>
      </w:r>
      <w:r w:rsidRPr="00E9653B">
        <w:t xml:space="preserve"> </w:t>
      </w:r>
      <w:r>
        <w:t>(Měla by však</w:t>
      </w:r>
      <w:r w:rsidRPr="00E9653B">
        <w:t xml:space="preserve"> být splněna podmínka, že emise opencard segmentům, které budou migrovány v průběh</w:t>
      </w:r>
      <w:r>
        <w:t>u roku 2010 a 2011, proběhne bezplatně). Alternativním řešením je poskytovat opencard za symbolickou cenu, např. 1 Kč, a motivovat tím držitele k jejímu využívání. Zároveň se zvažuje zavedení personalizované anonymní karty.</w:t>
      </w:r>
    </w:p>
    <w:p w:rsidR="003F063C" w:rsidRPr="00E9653B" w:rsidRDefault="003F063C" w:rsidP="00184A4C">
      <w:pPr>
        <w:pStyle w:val="ColorfulList-Accent11"/>
        <w:numPr>
          <w:ilvl w:val="0"/>
          <w:numId w:val="7"/>
        </w:numPr>
      </w:pPr>
      <w:r w:rsidRPr="0003326B">
        <w:rPr>
          <w:b/>
        </w:rPr>
        <w:t>Zvýšit hodnotu kmene unikátních uživatelů opencard</w:t>
      </w:r>
      <w:r w:rsidRPr="00E9653B">
        <w:t xml:space="preserve"> na základě získání relevantních údajů o držitelích, které bude možné do budoucna </w:t>
      </w:r>
      <w:r>
        <w:t xml:space="preserve">v agregované podobě </w:t>
      </w:r>
      <w:r w:rsidRPr="00E9653B">
        <w:t>využít (na straně provozovatele projektu, strategického partnera či subjekt</w:t>
      </w:r>
      <w:r>
        <w:t>ů zapojených do slevového programu</w:t>
      </w:r>
      <w:r w:rsidRPr="00E9653B">
        <w:t>) zejména pro marketingové účely, řízení vztahů se zákazníky, křížový prodej apod.</w:t>
      </w:r>
    </w:p>
    <w:p w:rsidR="003F063C" w:rsidRDefault="003F063C" w:rsidP="000B79AA">
      <w:r w:rsidRPr="00D2320C">
        <w:t xml:space="preserve">Vzhledem k tomu, že hlavními požadavky na rozvoj opencard jsou jednoduchost řešení, rychlost implementace a minimální investiční náklady, jeví se jako </w:t>
      </w:r>
      <w:r w:rsidRPr="00D2320C">
        <w:rPr>
          <w:b/>
        </w:rPr>
        <w:t xml:space="preserve">optimální řešení rozšířit aplikace dostupné na opencard </w:t>
      </w:r>
      <w:r w:rsidRPr="00D2320C">
        <w:t>o</w:t>
      </w:r>
      <w:r>
        <w:t>:</w:t>
      </w:r>
    </w:p>
    <w:p w:rsidR="003F063C" w:rsidRDefault="003F063C" w:rsidP="00184A4C">
      <w:pPr>
        <w:pStyle w:val="ColorfulList-Accent11"/>
        <w:numPr>
          <w:ilvl w:val="0"/>
          <w:numId w:val="11"/>
        </w:numPr>
      </w:pPr>
      <w:r>
        <w:t>A</w:t>
      </w:r>
      <w:r w:rsidRPr="00D2320C">
        <w:t>traktivní</w:t>
      </w:r>
      <w:r w:rsidRPr="00791360">
        <w:rPr>
          <w:b/>
        </w:rPr>
        <w:t xml:space="preserve"> nekomerční služby </w:t>
      </w:r>
      <w:r w:rsidRPr="00D2320C">
        <w:t>poskytované městskými institucemi</w:t>
      </w:r>
      <w:r>
        <w:t>;</w:t>
      </w:r>
    </w:p>
    <w:p w:rsidR="003F063C" w:rsidRPr="00791360" w:rsidRDefault="003F063C" w:rsidP="00184A4C">
      <w:pPr>
        <w:pStyle w:val="ColorfulList-Accent11"/>
        <w:numPr>
          <w:ilvl w:val="0"/>
          <w:numId w:val="11"/>
        </w:numPr>
        <w:rPr>
          <w:b/>
        </w:rPr>
      </w:pPr>
      <w:r w:rsidRPr="00791360">
        <w:rPr>
          <w:b/>
        </w:rPr>
        <w:t xml:space="preserve">Komerční služby a strategicky koncipovaný </w:t>
      </w:r>
      <w:r>
        <w:rPr>
          <w:b/>
        </w:rPr>
        <w:t>slevový</w:t>
      </w:r>
      <w:r w:rsidRPr="00791360">
        <w:rPr>
          <w:b/>
        </w:rPr>
        <w:t xml:space="preserve"> program;</w:t>
      </w:r>
    </w:p>
    <w:p w:rsidR="003F063C" w:rsidRPr="004C77EA" w:rsidRDefault="003F063C" w:rsidP="00184A4C">
      <w:pPr>
        <w:pStyle w:val="ColorfulList-Accent11"/>
        <w:numPr>
          <w:ilvl w:val="0"/>
          <w:numId w:val="11"/>
        </w:numPr>
        <w:rPr>
          <w:b/>
        </w:rPr>
      </w:pPr>
      <w:r>
        <w:rPr>
          <w:b/>
        </w:rPr>
        <w:t>F</w:t>
      </w:r>
      <w:r w:rsidRPr="00791360">
        <w:rPr>
          <w:b/>
        </w:rPr>
        <w:t>unkcionalitu</w:t>
      </w:r>
      <w:r>
        <w:rPr>
          <w:b/>
        </w:rPr>
        <w:t xml:space="preserve"> bezkontaktních mikroplateb</w:t>
      </w:r>
      <w:r>
        <w:t>.</w:t>
      </w:r>
    </w:p>
    <w:p w:rsidR="003F063C" w:rsidRPr="004C77EA" w:rsidRDefault="003F063C" w:rsidP="000B79AA">
      <w:r w:rsidRPr="004C77EA">
        <w:t>Přehled nových služeb na opencard shrnuje následující tabulka.</w:t>
      </w:r>
    </w:p>
    <w:tbl>
      <w:tblPr>
        <w:tblW w:w="5045" w:type="pct"/>
        <w:jc w:val="center"/>
        <w:tblBorders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1757"/>
        <w:gridCol w:w="5922"/>
        <w:gridCol w:w="1511"/>
        <w:gridCol w:w="1511"/>
      </w:tblGrid>
      <w:tr w:rsidR="003F063C" w:rsidRPr="00B02BC3">
        <w:trPr>
          <w:trHeight w:val="554"/>
          <w:jc w:val="center"/>
        </w:trPr>
        <w:tc>
          <w:tcPr>
            <w:tcW w:w="821" w:type="pct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76923C"/>
            <w:vAlign w:val="center"/>
          </w:tcPr>
          <w:p w:rsidR="003F063C" w:rsidRPr="0049546F" w:rsidRDefault="003F063C" w:rsidP="000B79AA">
            <w:pPr>
              <w:spacing w:before="0" w:after="0"/>
              <w:ind w:right="-208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Služba</w:t>
            </w:r>
          </w:p>
        </w:tc>
        <w:tc>
          <w:tcPr>
            <w:tcW w:w="2767" w:type="pct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76923C"/>
            <w:vAlign w:val="center"/>
          </w:tcPr>
          <w:p w:rsidR="003F063C" w:rsidRPr="0049546F" w:rsidRDefault="003F063C" w:rsidP="000B79AA">
            <w:pPr>
              <w:spacing w:before="0" w:after="0"/>
              <w:ind w:right="-208"/>
              <w:jc w:val="left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706" w:type="pct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76923C"/>
            <w:vAlign w:val="center"/>
          </w:tcPr>
          <w:p w:rsidR="003F063C" w:rsidRDefault="003F063C" w:rsidP="000B79AA">
            <w:pPr>
              <w:spacing w:before="0" w:after="0"/>
              <w:ind w:left="-74" w:right="-208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Zahájení</w:t>
            </w:r>
          </w:p>
          <w:p w:rsidR="003F063C" w:rsidRPr="0049546F" w:rsidRDefault="003F063C" w:rsidP="000B79AA">
            <w:pPr>
              <w:spacing w:before="0" w:after="0"/>
              <w:ind w:left="-74" w:right="-208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provozu</w:t>
            </w:r>
          </w:p>
        </w:tc>
        <w:tc>
          <w:tcPr>
            <w:tcW w:w="706" w:type="pct"/>
            <w:tcBorders>
              <w:top w:val="nil"/>
              <w:left w:val="single" w:sz="2" w:space="0" w:color="FFFFFF"/>
            </w:tcBorders>
            <w:shd w:val="clear" w:color="auto" w:fill="76923C"/>
            <w:vAlign w:val="center"/>
          </w:tcPr>
          <w:p w:rsidR="003F063C" w:rsidRDefault="003F063C" w:rsidP="000B79AA">
            <w:pPr>
              <w:spacing w:before="0" w:after="0"/>
              <w:ind w:right="-208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Priorita</w:t>
            </w:r>
          </w:p>
          <w:p w:rsidR="003F063C" w:rsidRDefault="003F063C" w:rsidP="000B79AA">
            <w:pPr>
              <w:spacing w:before="0" w:after="0"/>
              <w:ind w:right="-208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realizace</w:t>
            </w:r>
          </w:p>
        </w:tc>
      </w:tr>
      <w:tr w:rsidR="003F063C" w:rsidRPr="00B02BC3">
        <w:trPr>
          <w:trHeight w:val="567"/>
          <w:jc w:val="center"/>
        </w:trPr>
        <w:tc>
          <w:tcPr>
            <w:tcW w:w="821" w:type="pct"/>
            <w:shd w:val="clear" w:color="auto" w:fill="FFFFCC"/>
            <w:vAlign w:val="center"/>
          </w:tcPr>
          <w:p w:rsidR="003F063C" w:rsidRPr="007445FB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7445FB">
              <w:rPr>
                <w:b/>
                <w:sz w:val="16"/>
                <w:szCs w:val="16"/>
              </w:rPr>
              <w:t>Přerušení platnosti ročního kupónu</w:t>
            </w:r>
            <w:r w:rsidRPr="007445FB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7445FB">
              <w:rPr>
                <w:b/>
                <w:sz w:val="16"/>
                <w:szCs w:val="16"/>
              </w:rPr>
              <w:t>Klouzavý roční kupón</w:t>
            </w:r>
          </w:p>
        </w:tc>
        <w:tc>
          <w:tcPr>
            <w:tcW w:w="2767" w:type="pct"/>
            <w:shd w:val="clear" w:color="auto" w:fill="F2F2F2"/>
            <w:vAlign w:val="center"/>
          </w:tcPr>
          <w:p w:rsidR="003F063C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Možnost dočasně za poplatek přerušit platnost 365denního kupónu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Zavedení klouzavého 365denního elektronického kupónu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7445FB" w:rsidRDefault="003F063C" w:rsidP="000B79AA">
            <w:pPr>
              <w:spacing w:before="0" w:after="0"/>
              <w:ind w:left="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4C77E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4C77EA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5E5B07" w:rsidRDefault="003F063C" w:rsidP="000B79AA">
            <w:pPr>
              <w:spacing w:before="0" w:after="0"/>
              <w:jc w:val="center"/>
              <w:rPr>
                <w:b/>
                <w:szCs w:val="20"/>
              </w:rPr>
            </w:pPr>
            <w:r w:rsidRPr="005E5B07">
              <w:rPr>
                <w:b/>
                <w:szCs w:val="20"/>
              </w:rPr>
              <w:t>1</w:t>
            </w:r>
          </w:p>
        </w:tc>
      </w:tr>
      <w:tr w:rsidR="003F063C" w:rsidRPr="00B02BC3">
        <w:trPr>
          <w:trHeight w:val="567"/>
          <w:jc w:val="center"/>
        </w:trPr>
        <w:tc>
          <w:tcPr>
            <w:tcW w:w="821" w:type="pct"/>
            <w:shd w:val="clear" w:color="auto" w:fill="FFFFCC"/>
            <w:vAlign w:val="center"/>
          </w:tcPr>
          <w:p w:rsidR="003F063C" w:rsidRPr="007445FB" w:rsidRDefault="003F063C" w:rsidP="00122546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7445FB">
              <w:rPr>
                <w:b/>
                <w:sz w:val="16"/>
                <w:szCs w:val="16"/>
              </w:rPr>
              <w:t>Městský slevový program</w:t>
            </w:r>
          </w:p>
        </w:tc>
        <w:tc>
          <w:tcPr>
            <w:tcW w:w="2767" w:type="pct"/>
            <w:shd w:val="clear" w:color="auto" w:fill="F2F2F2"/>
            <w:vAlign w:val="center"/>
          </w:tcPr>
          <w:p w:rsidR="003F063C" w:rsidRPr="00507711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 w:rsidRPr="004E09D4">
              <w:rPr>
                <w:sz w:val="16"/>
                <w:szCs w:val="16"/>
              </w:rPr>
              <w:t xml:space="preserve">Sleva na vstup do </w:t>
            </w:r>
            <w:r w:rsidRPr="00507711">
              <w:rPr>
                <w:sz w:val="16"/>
                <w:szCs w:val="16"/>
              </w:rPr>
              <w:t>botanické zahrady</w:t>
            </w:r>
          </w:p>
          <w:p w:rsidR="003F063C" w:rsidRPr="00295BED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 w:rsidRPr="004E09D4">
              <w:rPr>
                <w:sz w:val="16"/>
                <w:szCs w:val="16"/>
              </w:rPr>
              <w:t>Sleva při vstupu do vybraných divadel</w:t>
            </w:r>
            <w:r>
              <w:rPr>
                <w:sz w:val="16"/>
                <w:szCs w:val="16"/>
              </w:rPr>
              <w:t xml:space="preserve"> a dalších institucí, jejichž zřizovatelem je HMP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4C77EA" w:rsidRDefault="003F063C" w:rsidP="000B79AA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4-6</w:t>
            </w:r>
            <w:r w:rsidRPr="004C77E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4C77EA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5E5B07" w:rsidRDefault="003F063C" w:rsidP="000B79AA">
            <w:pPr>
              <w:spacing w:before="0"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</w:tr>
      <w:tr w:rsidR="003F063C" w:rsidRPr="00B02BC3">
        <w:trPr>
          <w:trHeight w:val="567"/>
          <w:jc w:val="center"/>
        </w:trPr>
        <w:tc>
          <w:tcPr>
            <w:tcW w:w="821" w:type="pct"/>
            <w:shd w:val="clear" w:color="auto" w:fill="FFFFCC"/>
            <w:vAlign w:val="center"/>
          </w:tcPr>
          <w:p w:rsidR="003F063C" w:rsidRPr="007445FB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7445FB">
              <w:rPr>
                <w:b/>
                <w:sz w:val="16"/>
                <w:szCs w:val="16"/>
              </w:rPr>
              <w:t>Internetové podání žádosti o OC</w:t>
            </w:r>
          </w:p>
        </w:tc>
        <w:tc>
          <w:tcPr>
            <w:tcW w:w="2767" w:type="pct"/>
            <w:shd w:val="clear" w:color="auto" w:fill="F2F2F2"/>
            <w:vAlign w:val="center"/>
          </w:tcPr>
          <w:p w:rsidR="003F063C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Podání žádosti o opencard prostřednictvím webového rozhraní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Omezení návštěv kontaktního místa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4C77EA" w:rsidRDefault="003F063C" w:rsidP="000B79AA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4C77E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4C77EA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5E5B07" w:rsidRDefault="003F063C" w:rsidP="000B79AA">
            <w:pPr>
              <w:spacing w:before="0"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</w:tr>
      <w:tr w:rsidR="003F063C" w:rsidRPr="00B02BC3">
        <w:trPr>
          <w:trHeight w:val="567"/>
          <w:jc w:val="center"/>
        </w:trPr>
        <w:tc>
          <w:tcPr>
            <w:tcW w:w="821" w:type="pct"/>
            <w:shd w:val="clear" w:color="auto" w:fill="FFFFCC"/>
            <w:vAlign w:val="center"/>
          </w:tcPr>
          <w:p w:rsidR="003F063C" w:rsidRPr="004E1921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Komerční slevový program</w:t>
            </w:r>
          </w:p>
        </w:tc>
        <w:tc>
          <w:tcPr>
            <w:tcW w:w="2767" w:type="pct"/>
            <w:shd w:val="clear" w:color="auto" w:fill="F2F2F2"/>
            <w:vAlign w:val="center"/>
          </w:tcPr>
          <w:p w:rsidR="003F063C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Slevy v síti obchodních partnerů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Default="003F063C" w:rsidP="0012254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 </w:t>
            </w:r>
            <w:r w:rsidRPr="00122546">
              <w:rPr>
                <w:sz w:val="16"/>
                <w:szCs w:val="16"/>
              </w:rPr>
              <w:t>4</w:t>
            </w:r>
            <w:r w:rsidRPr="00122546">
              <w:rPr>
                <w:rFonts w:ascii="Times New Roman" w:hAnsi="Times New Roman"/>
                <w:sz w:val="16"/>
                <w:szCs w:val="16"/>
              </w:rPr>
              <w:t>/</w:t>
            </w:r>
            <w:r w:rsidRPr="00122546">
              <w:rPr>
                <w:sz w:val="16"/>
                <w:szCs w:val="16"/>
              </w:rPr>
              <w:t>2010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4C77EA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F063C" w:rsidRPr="00B02BC3">
        <w:trPr>
          <w:trHeight w:val="567"/>
          <w:jc w:val="center"/>
        </w:trPr>
        <w:tc>
          <w:tcPr>
            <w:tcW w:w="821" w:type="pct"/>
            <w:shd w:val="clear" w:color="auto" w:fill="FFFFCC"/>
            <w:vAlign w:val="center"/>
          </w:tcPr>
          <w:p w:rsidR="003F063C" w:rsidRPr="004E1921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4E1921">
              <w:rPr>
                <w:b/>
                <w:sz w:val="16"/>
                <w:szCs w:val="16"/>
              </w:rPr>
              <w:t>Pilotní projekt</w:t>
            </w:r>
          </w:p>
          <w:p w:rsidR="003F063C" w:rsidRPr="007445FB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7445FB">
              <w:rPr>
                <w:b/>
                <w:sz w:val="16"/>
                <w:szCs w:val="16"/>
              </w:rPr>
              <w:t>Studentská karta</w:t>
            </w:r>
          </w:p>
        </w:tc>
        <w:tc>
          <w:tcPr>
            <w:tcW w:w="2767" w:type="pct"/>
            <w:shd w:val="clear" w:color="auto" w:fill="F2F2F2"/>
            <w:vAlign w:val="center"/>
          </w:tcPr>
          <w:p w:rsidR="003F063C" w:rsidRPr="00507711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Opencard sloužící zároveň jako karta SŠ či VŠ (vstup, menzy, kopírování</w:t>
            </w:r>
            <w:r w:rsidRPr="00507711">
              <w:rPr>
                <w:sz w:val="16"/>
                <w:szCs w:val="16"/>
              </w:rPr>
              <w:t>)</w:t>
            </w:r>
          </w:p>
          <w:p w:rsidR="003F063C" w:rsidRPr="00B02BC3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Ko-brandování s licencí ISIC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4C77EA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C77EA">
              <w:rPr>
                <w:rFonts w:ascii="Times New Roman" w:hAnsi="Times New Roman"/>
                <w:sz w:val="16"/>
                <w:szCs w:val="16"/>
              </w:rPr>
              <w:t>/</w:t>
            </w:r>
            <w:r w:rsidRPr="004C77E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4C77EA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F063C" w:rsidRPr="00B02BC3">
        <w:trPr>
          <w:trHeight w:val="567"/>
          <w:jc w:val="center"/>
        </w:trPr>
        <w:tc>
          <w:tcPr>
            <w:tcW w:w="821" w:type="pct"/>
            <w:shd w:val="clear" w:color="auto" w:fill="FFFFCC"/>
            <w:vAlign w:val="center"/>
          </w:tcPr>
          <w:p w:rsidR="003F063C" w:rsidRPr="007445FB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7445FB">
              <w:rPr>
                <w:b/>
                <w:sz w:val="16"/>
                <w:szCs w:val="16"/>
              </w:rPr>
              <w:t>Turistická karta a třídenní kupóny</w:t>
            </w:r>
          </w:p>
        </w:tc>
        <w:tc>
          <w:tcPr>
            <w:tcW w:w="2767" w:type="pct"/>
            <w:shd w:val="clear" w:color="auto" w:fill="F2F2F2"/>
            <w:vAlign w:val="center"/>
          </w:tcPr>
          <w:p w:rsidR="003F063C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Turistická opencard s 3denním kupónem</w:t>
            </w:r>
          </w:p>
          <w:p w:rsidR="003F063C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Vstup do vybraných památek apod.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4C77EA" w:rsidRDefault="003F063C" w:rsidP="000B79AA">
            <w:pPr>
              <w:spacing w:before="0" w:after="0"/>
              <w:jc w:val="center"/>
            </w:pPr>
            <w:r>
              <w:rPr>
                <w:sz w:val="16"/>
                <w:szCs w:val="16"/>
              </w:rPr>
              <w:t>6</w:t>
            </w:r>
            <w:r w:rsidRPr="004C77EA">
              <w:rPr>
                <w:rFonts w:ascii="Times New Roman" w:hAnsi="Times New Roman"/>
                <w:sz w:val="16"/>
                <w:szCs w:val="16"/>
              </w:rPr>
              <w:t>/</w:t>
            </w:r>
            <w:r w:rsidRPr="004C77E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4C77EA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F063C" w:rsidRPr="00B02BC3">
        <w:trPr>
          <w:trHeight w:val="567"/>
          <w:jc w:val="center"/>
        </w:trPr>
        <w:tc>
          <w:tcPr>
            <w:tcW w:w="821" w:type="pct"/>
            <w:shd w:val="clear" w:color="auto" w:fill="FFFFCC"/>
            <w:vAlign w:val="center"/>
          </w:tcPr>
          <w:p w:rsidR="003F063C" w:rsidRPr="007445FB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7445FB">
              <w:rPr>
                <w:b/>
                <w:sz w:val="16"/>
                <w:szCs w:val="16"/>
              </w:rPr>
              <w:t>Kupón 70+</w:t>
            </w:r>
          </w:p>
        </w:tc>
        <w:tc>
          <w:tcPr>
            <w:tcW w:w="2767" w:type="pct"/>
            <w:shd w:val="clear" w:color="auto" w:fill="F2F2F2"/>
            <w:vAlign w:val="center"/>
          </w:tcPr>
          <w:p w:rsidR="003F063C" w:rsidRPr="000319C8" w:rsidRDefault="003F063C" w:rsidP="00184A4C">
            <w:pPr>
              <w:pStyle w:val="ColorfulList-Accent11"/>
              <w:numPr>
                <w:ilvl w:val="0"/>
                <w:numId w:val="19"/>
              </w:numPr>
              <w:spacing w:before="0" w:after="0"/>
              <w:ind w:left="186" w:hanging="18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Elektronický kupón pro cestující nad 70 let platný i v prostředcích Českých drah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AE60EB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4C77EA">
              <w:rPr>
                <w:rFonts w:ascii="Times New Roman" w:hAnsi="Times New Roman"/>
                <w:sz w:val="16"/>
                <w:szCs w:val="16"/>
              </w:rPr>
              <w:t>/</w:t>
            </w:r>
            <w:r w:rsidRPr="004C77E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6" w:type="pct"/>
            <w:shd w:val="clear" w:color="auto" w:fill="F2F2F2"/>
            <w:vAlign w:val="center"/>
          </w:tcPr>
          <w:p w:rsidR="003F063C" w:rsidRPr="00AE60EB" w:rsidRDefault="003F063C" w:rsidP="000B79AA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</w:tbl>
    <w:p w:rsidR="003F063C" w:rsidRDefault="003F063C" w:rsidP="000B79AA">
      <w:r>
        <w:t>Představení jednotlivých služeb je popsáno níže.</w:t>
      </w:r>
    </w:p>
    <w:p w:rsidR="003F063C" w:rsidRDefault="003F063C" w:rsidP="000B79AA">
      <w:pPr>
        <w:rPr>
          <w:rFonts w:cs="Arial"/>
          <w:color w:val="4F6228"/>
          <w:szCs w:val="20"/>
        </w:rPr>
      </w:pPr>
      <w:r>
        <w:br w:type="page"/>
      </w:r>
    </w:p>
    <w:p w:rsidR="003F063C" w:rsidRDefault="003F063C" w:rsidP="000B79AA">
      <w:pPr>
        <w:pStyle w:val="Heading3"/>
      </w:pPr>
      <w:r>
        <w:t>Přerušení platnosti ročního kupónu</w:t>
      </w:r>
      <w:r>
        <w:rPr>
          <w:rFonts w:ascii="Times New Roman" w:hAnsi="Times New Roman" w:cs="Times New Roman"/>
        </w:rPr>
        <w:t>/</w:t>
      </w:r>
      <w:r>
        <w:t>Klouzavý roční kupón</w:t>
      </w:r>
    </w:p>
    <w:p w:rsidR="003F063C" w:rsidRDefault="003F063C" w:rsidP="000B79AA">
      <w:r>
        <w:t xml:space="preserve">Služba držiteli umožní </w:t>
      </w:r>
      <w:r w:rsidRPr="000F4EBE">
        <w:rPr>
          <w:b/>
        </w:rPr>
        <w:t>maximálně dvakrát za kalendářní rok</w:t>
      </w:r>
      <w:r>
        <w:t xml:space="preserve"> přerušit </w:t>
      </w:r>
      <w:r w:rsidRPr="000F4EBE">
        <w:rPr>
          <w:b/>
        </w:rPr>
        <w:t>na celkovou maximální dobu 2 měsíce</w:t>
      </w:r>
      <w:r>
        <w:t xml:space="preserve"> platnost 365denního kupónu. </w:t>
      </w:r>
      <w:r w:rsidRPr="000F4EBE">
        <w:rPr>
          <w:b/>
        </w:rPr>
        <w:t xml:space="preserve">Minimální doba přerušení </w:t>
      </w:r>
      <w:r w:rsidRPr="000F4EBE">
        <w:t>bude</w:t>
      </w:r>
      <w:r w:rsidRPr="000F4EBE">
        <w:rPr>
          <w:b/>
        </w:rPr>
        <w:t xml:space="preserve"> 14 dní</w:t>
      </w:r>
      <w:r>
        <w:rPr>
          <w:b/>
        </w:rPr>
        <w:t>,</w:t>
      </w:r>
      <w:r>
        <w:t xml:space="preserve"> </w:t>
      </w:r>
      <w:r>
        <w:rPr>
          <w:b/>
        </w:rPr>
        <w:t>m</w:t>
      </w:r>
      <w:r w:rsidRPr="000F4EBE">
        <w:rPr>
          <w:b/>
        </w:rPr>
        <w:t xml:space="preserve">aximální 2 měsíce. </w:t>
      </w:r>
      <w:r>
        <w:t xml:space="preserve">Paralelně bude zahájen prodej klouzavého 365denního kupónu. </w:t>
      </w:r>
      <w:r w:rsidRPr="000F4EBE">
        <w:rPr>
          <w:b/>
        </w:rPr>
        <w:t>Po dobu pilotního provozu</w:t>
      </w:r>
      <w:r>
        <w:t xml:space="preserve"> bude služba poskytována </w:t>
      </w:r>
      <w:r w:rsidRPr="000F4EBE">
        <w:rPr>
          <w:b/>
        </w:rPr>
        <w:t>zdarma</w:t>
      </w:r>
      <w:r>
        <w:t xml:space="preserve">, v budoucnu bude možné zavést manipulační poplatek. </w:t>
      </w:r>
    </w:p>
    <w:p w:rsidR="003F063C" w:rsidRDefault="003F063C" w:rsidP="000B79AA">
      <w:pPr>
        <w:rPr>
          <w:b/>
        </w:rPr>
      </w:pPr>
      <w:r>
        <w:t xml:space="preserve">V první fázi bude služba </w:t>
      </w:r>
      <w:r w:rsidRPr="000F4EBE">
        <w:rPr>
          <w:b/>
        </w:rPr>
        <w:t>dostupná na pracovišti „vratky DOS“</w:t>
      </w:r>
      <w:r>
        <w:t xml:space="preserve">, </w:t>
      </w:r>
      <w:r w:rsidRPr="000F4EBE">
        <w:t xml:space="preserve">postupně by však měla být </w:t>
      </w:r>
      <w:r w:rsidRPr="00D1088A">
        <w:t>v závislosti na technických možnostech</w:t>
      </w:r>
      <w:r w:rsidRPr="000F4EBE">
        <w:rPr>
          <w:b/>
        </w:rPr>
        <w:t xml:space="preserve"> rozšířena i na síť kontaktních míst DPHMP.</w:t>
      </w:r>
    </w:p>
    <w:p w:rsidR="003F063C" w:rsidRDefault="003F063C" w:rsidP="000B79AA">
      <w:r>
        <w:rPr>
          <w:b/>
        </w:rPr>
        <w:t xml:space="preserve">Přerušení ročního kupónu přinese držitelům opencard cestujícím v pražské MHD úsporu až 20 % z ceny ročního kupónu </w:t>
      </w:r>
      <w:r w:rsidRPr="000F4EBE">
        <w:t>dle následující tabulky.</w:t>
      </w:r>
    </w:p>
    <w:tbl>
      <w:tblPr>
        <w:tblW w:w="3319" w:type="pct"/>
        <w:jc w:val="center"/>
        <w:tblInd w:w="828" w:type="dxa"/>
        <w:tblBorders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3520"/>
        <w:gridCol w:w="3520"/>
      </w:tblGrid>
      <w:tr w:rsidR="003F063C" w:rsidRPr="00B02BC3" w:rsidTr="007C2DDD">
        <w:trPr>
          <w:trHeight w:val="340"/>
          <w:jc w:val="center"/>
        </w:trPr>
        <w:tc>
          <w:tcPr>
            <w:tcW w:w="2500" w:type="pct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76923C"/>
            <w:vAlign w:val="center"/>
          </w:tcPr>
          <w:p w:rsidR="003F063C" w:rsidRPr="0049546F" w:rsidRDefault="003F063C" w:rsidP="00F14748">
            <w:pPr>
              <w:spacing w:before="0" w:after="0"/>
              <w:ind w:right="-208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Doba přerušení</w:t>
            </w:r>
          </w:p>
        </w:tc>
        <w:tc>
          <w:tcPr>
            <w:tcW w:w="2500" w:type="pct"/>
            <w:tcBorders>
              <w:top w:val="nil"/>
              <w:left w:val="single" w:sz="2" w:space="0" w:color="FFFFFF"/>
              <w:right w:val="single" w:sz="2" w:space="0" w:color="FFFFFF"/>
            </w:tcBorders>
            <w:shd w:val="clear" w:color="auto" w:fill="76923C"/>
            <w:vAlign w:val="center"/>
          </w:tcPr>
          <w:p w:rsidR="003F063C" w:rsidRPr="0049546F" w:rsidRDefault="003F063C" w:rsidP="00F14748">
            <w:pPr>
              <w:spacing w:before="0" w:after="0"/>
              <w:ind w:right="-208"/>
              <w:jc w:val="left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Úspora</w:t>
            </w:r>
          </w:p>
        </w:tc>
      </w:tr>
      <w:tr w:rsidR="003F063C" w:rsidRPr="00B02BC3" w:rsidTr="007C2DDD">
        <w:trPr>
          <w:trHeight w:val="340"/>
          <w:jc w:val="center"/>
        </w:trPr>
        <w:tc>
          <w:tcPr>
            <w:tcW w:w="2500" w:type="pct"/>
            <w:shd w:val="clear" w:color="auto" w:fill="FFFFCC"/>
            <w:vAlign w:val="center"/>
          </w:tcPr>
          <w:p w:rsidR="003F063C" w:rsidRPr="007445FB" w:rsidRDefault="003F063C" w:rsidP="00F1474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dní</w:t>
            </w:r>
          </w:p>
        </w:tc>
        <w:tc>
          <w:tcPr>
            <w:tcW w:w="2500" w:type="pct"/>
            <w:shd w:val="clear" w:color="auto" w:fill="F2F2F2"/>
            <w:vAlign w:val="center"/>
          </w:tcPr>
          <w:p w:rsidR="003F063C" w:rsidRPr="007C2DDD" w:rsidRDefault="003F063C" w:rsidP="003D79FB">
            <w:pPr>
              <w:pStyle w:val="ColorfulList-Accent11"/>
              <w:spacing w:before="0" w:after="0"/>
              <w:ind w:left="186"/>
              <w:jc w:val="left"/>
              <w:rPr>
                <w:b/>
                <w:sz w:val="16"/>
                <w:szCs w:val="16"/>
              </w:rPr>
            </w:pPr>
            <w:r w:rsidRPr="007C2DDD">
              <w:rPr>
                <w:b/>
                <w:sz w:val="16"/>
                <w:szCs w:val="16"/>
              </w:rPr>
              <w:t>198 Kč</w:t>
            </w:r>
          </w:p>
        </w:tc>
      </w:tr>
      <w:tr w:rsidR="003F063C" w:rsidRPr="00B02BC3" w:rsidTr="007C2DDD">
        <w:trPr>
          <w:trHeight w:val="340"/>
          <w:jc w:val="center"/>
        </w:trPr>
        <w:tc>
          <w:tcPr>
            <w:tcW w:w="2500" w:type="pct"/>
            <w:shd w:val="clear" w:color="auto" w:fill="FFFFCC"/>
            <w:vAlign w:val="center"/>
          </w:tcPr>
          <w:p w:rsidR="003F063C" w:rsidRPr="007445FB" w:rsidRDefault="003F063C" w:rsidP="00F1474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měsíc</w:t>
            </w:r>
          </w:p>
        </w:tc>
        <w:tc>
          <w:tcPr>
            <w:tcW w:w="2500" w:type="pct"/>
            <w:shd w:val="clear" w:color="auto" w:fill="F2F2F2"/>
            <w:vAlign w:val="center"/>
          </w:tcPr>
          <w:p w:rsidR="003F063C" w:rsidRPr="007C2DDD" w:rsidRDefault="003F063C" w:rsidP="003D79FB">
            <w:pPr>
              <w:pStyle w:val="ColorfulList-Accent11"/>
              <w:spacing w:before="0" w:after="0"/>
              <w:ind w:left="186"/>
              <w:jc w:val="left"/>
              <w:rPr>
                <w:b/>
                <w:sz w:val="16"/>
                <w:szCs w:val="16"/>
              </w:rPr>
            </w:pPr>
            <w:r w:rsidRPr="007C2DDD">
              <w:rPr>
                <w:b/>
                <w:sz w:val="16"/>
                <w:szCs w:val="16"/>
              </w:rPr>
              <w:t>396 Kč</w:t>
            </w:r>
          </w:p>
        </w:tc>
      </w:tr>
      <w:tr w:rsidR="003F063C" w:rsidRPr="00B02BC3" w:rsidTr="007C2DDD">
        <w:trPr>
          <w:trHeight w:val="340"/>
          <w:jc w:val="center"/>
        </w:trPr>
        <w:tc>
          <w:tcPr>
            <w:tcW w:w="2500" w:type="pct"/>
            <w:shd w:val="clear" w:color="auto" w:fill="FFFFCC"/>
            <w:vAlign w:val="center"/>
          </w:tcPr>
          <w:p w:rsidR="003F063C" w:rsidRPr="007445FB" w:rsidRDefault="003F063C" w:rsidP="00F14748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měsíce</w:t>
            </w:r>
          </w:p>
        </w:tc>
        <w:tc>
          <w:tcPr>
            <w:tcW w:w="2500" w:type="pct"/>
            <w:shd w:val="clear" w:color="auto" w:fill="F2F2F2"/>
            <w:vAlign w:val="center"/>
          </w:tcPr>
          <w:p w:rsidR="003F063C" w:rsidRPr="007C2DDD" w:rsidRDefault="003F063C" w:rsidP="003D79FB">
            <w:pPr>
              <w:pStyle w:val="ColorfulList-Accent11"/>
              <w:spacing w:before="0" w:after="0"/>
              <w:ind w:left="186"/>
              <w:jc w:val="left"/>
              <w:rPr>
                <w:b/>
                <w:sz w:val="16"/>
                <w:szCs w:val="16"/>
              </w:rPr>
            </w:pPr>
            <w:r w:rsidRPr="007C2DDD">
              <w:rPr>
                <w:b/>
                <w:sz w:val="16"/>
                <w:szCs w:val="16"/>
              </w:rPr>
              <w:t>792 Kč</w:t>
            </w:r>
          </w:p>
        </w:tc>
      </w:tr>
    </w:tbl>
    <w:p w:rsidR="003F063C" w:rsidRPr="00E11BF5" w:rsidRDefault="003F063C" w:rsidP="000B79AA">
      <w:pPr>
        <w:pStyle w:val="Heading3"/>
      </w:pPr>
      <w:r w:rsidRPr="00E11BF5">
        <w:t>Městský</w:t>
      </w:r>
      <w:r>
        <w:t xml:space="preserve"> </w:t>
      </w:r>
      <w:r w:rsidRPr="00E11BF5">
        <w:t xml:space="preserve">slevový program </w:t>
      </w:r>
    </w:p>
    <w:p w:rsidR="003F063C" w:rsidRPr="00504125" w:rsidRDefault="003F063C" w:rsidP="000B79AA">
      <w:r>
        <w:t xml:space="preserve">Městské a nekomerční služby budou v první fázi zahrnovat zejména </w:t>
      </w:r>
      <w:r w:rsidRPr="00640651">
        <w:rPr>
          <w:b/>
        </w:rPr>
        <w:t>městský slevový program</w:t>
      </w:r>
      <w:r>
        <w:t xml:space="preserve"> umožňující držitelům platné opencard čerpat </w:t>
      </w:r>
      <w:r>
        <w:rPr>
          <w:b/>
        </w:rPr>
        <w:t>slevy při vstupu do </w:t>
      </w:r>
      <w:r w:rsidRPr="00640651">
        <w:rPr>
          <w:b/>
        </w:rPr>
        <w:t>vybraných městských organizací</w:t>
      </w:r>
      <w:r>
        <w:rPr>
          <w:b/>
        </w:rPr>
        <w:t xml:space="preserve">. </w:t>
      </w:r>
      <w:r w:rsidRPr="00504125">
        <w:t xml:space="preserve">Do programu budou </w:t>
      </w:r>
      <w:r>
        <w:t xml:space="preserve">postupně </w:t>
      </w:r>
      <w:r w:rsidRPr="00504125">
        <w:t>zapojeny:</w:t>
      </w: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contextualSpacing/>
        <w:jc w:val="left"/>
        <w:rPr>
          <w:rFonts w:cs="Arial"/>
          <w:szCs w:val="20"/>
        </w:rPr>
        <w:sectPr w:rsidR="003F063C" w:rsidSect="000B79A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709" w:footer="300" w:gutter="0"/>
          <w:cols w:space="708"/>
          <w:docGrid w:linePitch="360"/>
        </w:sectPr>
      </w:pP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b/>
          <w:szCs w:val="20"/>
        </w:rPr>
      </w:pPr>
      <w:r w:rsidRPr="00504125">
        <w:rPr>
          <w:rFonts w:cs="Arial"/>
          <w:szCs w:val="20"/>
        </w:rPr>
        <w:t>Botanická zahrada hl.</w:t>
      </w:r>
      <w:r>
        <w:rPr>
          <w:rFonts w:cs="Arial"/>
          <w:szCs w:val="20"/>
        </w:rPr>
        <w:t xml:space="preserve"> </w:t>
      </w:r>
      <w:r w:rsidRPr="00504125">
        <w:rPr>
          <w:rFonts w:cs="Arial"/>
          <w:szCs w:val="20"/>
        </w:rPr>
        <w:t>m.</w:t>
      </w:r>
      <w:r>
        <w:rPr>
          <w:rFonts w:cs="Arial"/>
          <w:szCs w:val="20"/>
        </w:rPr>
        <w:t xml:space="preserve"> </w:t>
      </w:r>
      <w:r w:rsidRPr="00504125">
        <w:rPr>
          <w:rFonts w:cs="Arial"/>
          <w:szCs w:val="20"/>
        </w:rPr>
        <w:t>Prahy</w:t>
      </w:r>
      <w:r w:rsidRPr="00065BCF">
        <w:rPr>
          <w:rFonts w:cs="Arial"/>
          <w:b/>
          <w:szCs w:val="20"/>
        </w:rPr>
        <w:t xml:space="preserve"> (sleva 5 %)</w:t>
      </w:r>
    </w:p>
    <w:p w:rsidR="003F063C" w:rsidRPr="00065BCF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b/>
          <w:szCs w:val="20"/>
        </w:rPr>
      </w:pPr>
      <w:r w:rsidRPr="00C14399">
        <w:rPr>
          <w:rFonts w:cs="Arial"/>
          <w:szCs w:val="20"/>
        </w:rPr>
        <w:t>Zoologická zahrada hl.m.Prahy</w:t>
      </w:r>
      <w:r>
        <w:rPr>
          <w:rFonts w:cs="Arial"/>
          <w:b/>
          <w:szCs w:val="20"/>
        </w:rPr>
        <w:t xml:space="preserve"> (sleva 5%)</w:t>
      </w:r>
    </w:p>
    <w:p w:rsidR="003F063C" w:rsidRPr="00065BCF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b/>
          <w:szCs w:val="20"/>
        </w:rPr>
      </w:pPr>
      <w:r w:rsidRPr="00504125">
        <w:rPr>
          <w:rFonts w:cs="Arial"/>
          <w:szCs w:val="20"/>
        </w:rPr>
        <w:t>Městská divadla pražská</w:t>
      </w:r>
      <w:r>
        <w:rPr>
          <w:rFonts w:cs="Arial"/>
          <w:szCs w:val="20"/>
        </w:rPr>
        <w:t xml:space="preserve"> </w:t>
      </w:r>
      <w:r w:rsidRPr="00065BCF">
        <w:rPr>
          <w:rFonts w:cs="Arial"/>
          <w:b/>
          <w:szCs w:val="20"/>
        </w:rPr>
        <w:t>(sleva 5 %)</w:t>
      </w:r>
    </w:p>
    <w:p w:rsidR="003F063C" w:rsidRPr="00065BCF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b/>
          <w:szCs w:val="20"/>
        </w:rPr>
      </w:pPr>
      <w:r w:rsidRPr="00504125">
        <w:rPr>
          <w:rFonts w:cs="Arial"/>
          <w:szCs w:val="20"/>
        </w:rPr>
        <w:t>Švandovo divadlo na Smíchově</w:t>
      </w:r>
      <w:r>
        <w:rPr>
          <w:rFonts w:cs="Arial"/>
          <w:szCs w:val="20"/>
        </w:rPr>
        <w:t xml:space="preserve"> </w:t>
      </w:r>
      <w:r w:rsidRPr="00065BCF">
        <w:rPr>
          <w:rFonts w:cs="Arial"/>
          <w:b/>
          <w:szCs w:val="20"/>
        </w:rPr>
        <w:t>(sleva 5 %)</w:t>
      </w:r>
    </w:p>
    <w:p w:rsidR="003F063C" w:rsidRPr="00065BCF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b/>
          <w:szCs w:val="20"/>
        </w:rPr>
      </w:pPr>
      <w:r w:rsidRPr="00504125">
        <w:rPr>
          <w:rFonts w:cs="Arial"/>
          <w:szCs w:val="20"/>
        </w:rPr>
        <w:t>Hudební divadlo v</w:t>
      </w:r>
      <w:r>
        <w:rPr>
          <w:rFonts w:cs="Arial"/>
          <w:szCs w:val="20"/>
        </w:rPr>
        <w:t> </w:t>
      </w:r>
      <w:r w:rsidRPr="00504125">
        <w:rPr>
          <w:rFonts w:cs="Arial"/>
          <w:szCs w:val="20"/>
        </w:rPr>
        <w:t>Karlíně</w:t>
      </w:r>
      <w:r>
        <w:rPr>
          <w:rFonts w:cs="Arial"/>
          <w:szCs w:val="20"/>
        </w:rPr>
        <w:t xml:space="preserve"> </w:t>
      </w:r>
      <w:r w:rsidRPr="00065BCF">
        <w:rPr>
          <w:rFonts w:cs="Arial"/>
          <w:b/>
          <w:szCs w:val="20"/>
        </w:rPr>
        <w:t>(sleva 10 %)</w:t>
      </w:r>
    </w:p>
    <w:p w:rsidR="003F063C" w:rsidRPr="00504125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504125">
        <w:rPr>
          <w:rFonts w:cs="Arial"/>
          <w:szCs w:val="20"/>
        </w:rPr>
        <w:t>Divadlo v</w:t>
      </w:r>
      <w:r>
        <w:rPr>
          <w:rFonts w:cs="Arial"/>
          <w:szCs w:val="20"/>
        </w:rPr>
        <w:t> </w:t>
      </w:r>
      <w:r w:rsidRPr="00504125">
        <w:rPr>
          <w:rFonts w:cs="Arial"/>
          <w:szCs w:val="20"/>
        </w:rPr>
        <w:t>Dlouhé</w:t>
      </w:r>
      <w:r>
        <w:rPr>
          <w:rFonts w:cs="Arial"/>
          <w:szCs w:val="20"/>
        </w:rPr>
        <w:t xml:space="preserve"> </w:t>
      </w:r>
      <w:r w:rsidRPr="00065BCF">
        <w:rPr>
          <w:rFonts w:cs="Arial"/>
          <w:b/>
          <w:szCs w:val="20"/>
        </w:rPr>
        <w:t>(sleva 5 %)</w:t>
      </w:r>
    </w:p>
    <w:p w:rsidR="003F063C" w:rsidRPr="00504125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504125">
        <w:rPr>
          <w:rFonts w:cs="Arial"/>
          <w:szCs w:val="20"/>
        </w:rPr>
        <w:t>Minor</w:t>
      </w:r>
      <w:r>
        <w:rPr>
          <w:rFonts w:cs="Arial"/>
          <w:szCs w:val="20"/>
        </w:rPr>
        <w:t xml:space="preserve"> </w:t>
      </w:r>
      <w:r w:rsidRPr="00065BCF">
        <w:rPr>
          <w:rFonts w:cs="Arial"/>
          <w:b/>
          <w:szCs w:val="20"/>
        </w:rPr>
        <w:t>(sleva 10 %)</w:t>
      </w:r>
    </w:p>
    <w:p w:rsidR="003F063C" w:rsidRPr="000260BD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504125">
        <w:rPr>
          <w:rFonts w:cs="Arial"/>
          <w:szCs w:val="20"/>
        </w:rPr>
        <w:t>Divadlo na Vinohradech</w:t>
      </w:r>
      <w:r>
        <w:rPr>
          <w:rFonts w:cs="Arial"/>
          <w:szCs w:val="20"/>
        </w:rPr>
        <w:t xml:space="preserve"> </w:t>
      </w:r>
      <w:r w:rsidRPr="00065BCF">
        <w:rPr>
          <w:rFonts w:cs="Arial"/>
          <w:b/>
          <w:szCs w:val="20"/>
        </w:rPr>
        <w:t>(sleva 5 %)</w:t>
      </w: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0260BD">
        <w:rPr>
          <w:rFonts w:cs="Arial"/>
          <w:szCs w:val="20"/>
        </w:rPr>
        <w:t>Divadlo na Zábradlí</w:t>
      </w:r>
      <w:r>
        <w:rPr>
          <w:rFonts w:cs="Arial"/>
          <w:b/>
          <w:szCs w:val="20"/>
        </w:rPr>
        <w:t xml:space="preserve"> (sleva 5%)</w:t>
      </w: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065BCF">
        <w:rPr>
          <w:rFonts w:cs="Arial"/>
          <w:szCs w:val="20"/>
        </w:rPr>
        <w:t xml:space="preserve">Hvězdárna a planetárium hl. m. Prahy </w:t>
      </w:r>
      <w:r w:rsidRPr="00065BCF">
        <w:rPr>
          <w:rFonts w:cs="Arial"/>
          <w:b/>
          <w:szCs w:val="20"/>
        </w:rPr>
        <w:t>(sleva 5</w:t>
      </w:r>
      <w:r>
        <w:rPr>
          <w:rFonts w:cs="Arial"/>
          <w:b/>
          <w:szCs w:val="20"/>
        </w:rPr>
        <w:t xml:space="preserve"> až 10</w:t>
      </w:r>
      <w:r w:rsidRPr="00065BCF">
        <w:rPr>
          <w:rFonts w:cs="Arial"/>
          <w:b/>
          <w:szCs w:val="20"/>
        </w:rPr>
        <w:t xml:space="preserve"> %)</w:t>
      </w:r>
    </w:p>
    <w:p w:rsidR="003F063C" w:rsidRPr="00065BCF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065BCF">
        <w:rPr>
          <w:rFonts w:cs="Arial"/>
          <w:szCs w:val="20"/>
        </w:rPr>
        <w:t xml:space="preserve">Pražská informační služba </w:t>
      </w:r>
      <w:r w:rsidRPr="00065BCF">
        <w:rPr>
          <w:rFonts w:cs="Arial"/>
          <w:b/>
          <w:szCs w:val="20"/>
        </w:rPr>
        <w:t>(sleva 5 %)</w:t>
      </w:r>
    </w:p>
    <w:p w:rsidR="003F063C" w:rsidRPr="00504125" w:rsidRDefault="003F063C" w:rsidP="00184A4C">
      <w:pPr>
        <w:pStyle w:val="ColorfulList-Accent11"/>
        <w:numPr>
          <w:ilvl w:val="0"/>
          <w:numId w:val="4"/>
        </w:numPr>
        <w:spacing w:before="0" w:after="0"/>
        <w:ind w:left="284" w:hanging="284"/>
        <w:contextualSpacing/>
        <w:jc w:val="left"/>
        <w:rPr>
          <w:rFonts w:cs="Arial"/>
          <w:szCs w:val="20"/>
        </w:rPr>
      </w:pPr>
      <w:r w:rsidRPr="00504125">
        <w:rPr>
          <w:rFonts w:cs="Arial"/>
          <w:szCs w:val="20"/>
        </w:rPr>
        <w:t>Muzeum hl</w:t>
      </w:r>
      <w:r>
        <w:rPr>
          <w:rFonts w:cs="Arial"/>
          <w:szCs w:val="20"/>
        </w:rPr>
        <w:t>.</w:t>
      </w:r>
      <w:r w:rsidRPr="00504125">
        <w:rPr>
          <w:rFonts w:cs="Arial"/>
          <w:szCs w:val="20"/>
        </w:rPr>
        <w:t xml:space="preserve"> m</w:t>
      </w:r>
      <w:r>
        <w:rPr>
          <w:rFonts w:cs="Arial"/>
          <w:szCs w:val="20"/>
        </w:rPr>
        <w:t xml:space="preserve">. Prahy </w:t>
      </w:r>
      <w:r w:rsidRPr="00065BCF">
        <w:rPr>
          <w:rFonts w:cs="Arial"/>
          <w:b/>
          <w:szCs w:val="20"/>
        </w:rPr>
        <w:t>(sleva 10 %)</w:t>
      </w:r>
    </w:p>
    <w:p w:rsidR="003F063C" w:rsidRPr="00504125" w:rsidRDefault="003F063C" w:rsidP="00184A4C">
      <w:pPr>
        <w:pStyle w:val="ColorfulList-Accent11"/>
        <w:numPr>
          <w:ilvl w:val="0"/>
          <w:numId w:val="4"/>
        </w:numPr>
        <w:spacing w:before="0" w:after="0"/>
        <w:ind w:left="284" w:hanging="284"/>
        <w:contextualSpacing/>
        <w:jc w:val="left"/>
        <w:rPr>
          <w:rFonts w:cs="Arial"/>
          <w:szCs w:val="20"/>
        </w:rPr>
      </w:pPr>
      <w:r w:rsidRPr="00504125">
        <w:rPr>
          <w:rFonts w:cs="Arial"/>
          <w:szCs w:val="20"/>
        </w:rPr>
        <w:t>Národní kulturní památka Vyšehrad</w:t>
      </w:r>
      <w:r>
        <w:rPr>
          <w:rFonts w:cs="Arial"/>
          <w:szCs w:val="20"/>
        </w:rPr>
        <w:t xml:space="preserve"> </w:t>
      </w:r>
      <w:r w:rsidRPr="00065BCF">
        <w:rPr>
          <w:rFonts w:cs="Arial"/>
          <w:b/>
          <w:szCs w:val="20"/>
        </w:rPr>
        <w:t>(sleva 10 %)</w:t>
      </w:r>
    </w:p>
    <w:p w:rsidR="003F063C" w:rsidRPr="00504125" w:rsidRDefault="003F063C" w:rsidP="00184A4C">
      <w:pPr>
        <w:pStyle w:val="ColorfulList-Accent11"/>
        <w:numPr>
          <w:ilvl w:val="0"/>
          <w:numId w:val="4"/>
        </w:numPr>
        <w:spacing w:before="0" w:after="0"/>
        <w:ind w:left="284" w:hanging="284"/>
        <w:contextualSpacing/>
        <w:jc w:val="left"/>
        <w:rPr>
          <w:rFonts w:cs="Arial"/>
          <w:szCs w:val="20"/>
        </w:rPr>
      </w:pPr>
      <w:r w:rsidRPr="00504125">
        <w:rPr>
          <w:rFonts w:cs="Arial"/>
          <w:szCs w:val="20"/>
        </w:rPr>
        <w:t>Galerie hl</w:t>
      </w:r>
      <w:r>
        <w:rPr>
          <w:rFonts w:cs="Arial"/>
          <w:szCs w:val="20"/>
        </w:rPr>
        <w:t>.</w:t>
      </w:r>
      <w:r w:rsidRPr="00504125">
        <w:rPr>
          <w:rFonts w:cs="Arial"/>
          <w:szCs w:val="20"/>
        </w:rPr>
        <w:t xml:space="preserve"> m</w:t>
      </w:r>
      <w:r>
        <w:rPr>
          <w:rFonts w:cs="Arial"/>
          <w:szCs w:val="20"/>
        </w:rPr>
        <w:t>.</w:t>
      </w:r>
      <w:r w:rsidRPr="00504125">
        <w:rPr>
          <w:rFonts w:cs="Arial"/>
          <w:szCs w:val="20"/>
        </w:rPr>
        <w:t xml:space="preserve"> Prahy</w:t>
      </w:r>
      <w:r>
        <w:rPr>
          <w:rFonts w:cs="Arial"/>
          <w:szCs w:val="20"/>
        </w:rPr>
        <w:t xml:space="preserve"> </w:t>
      </w:r>
      <w:r w:rsidRPr="00065BCF">
        <w:rPr>
          <w:rFonts w:cs="Arial"/>
          <w:b/>
          <w:szCs w:val="20"/>
        </w:rPr>
        <w:t>(sleva 10 %)</w:t>
      </w: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ind w:left="284" w:hanging="284"/>
        <w:contextualSpacing/>
        <w:jc w:val="left"/>
        <w:rPr>
          <w:rFonts w:cs="Arial"/>
          <w:szCs w:val="20"/>
        </w:rPr>
      </w:pPr>
      <w:r w:rsidRPr="00065BCF">
        <w:rPr>
          <w:rFonts w:cs="Arial"/>
          <w:szCs w:val="20"/>
        </w:rPr>
        <w:t>Symfonický orchestr hl</w:t>
      </w:r>
      <w:r>
        <w:rPr>
          <w:rFonts w:cs="Arial"/>
          <w:szCs w:val="20"/>
        </w:rPr>
        <w:t>.</w:t>
      </w:r>
      <w:r w:rsidRPr="00065BCF">
        <w:rPr>
          <w:rFonts w:cs="Arial"/>
          <w:szCs w:val="20"/>
        </w:rPr>
        <w:t xml:space="preserve"> m</w:t>
      </w:r>
      <w:r>
        <w:rPr>
          <w:rFonts w:cs="Arial"/>
          <w:szCs w:val="20"/>
        </w:rPr>
        <w:t>.</w:t>
      </w:r>
      <w:r w:rsidRPr="00065BCF">
        <w:rPr>
          <w:rFonts w:cs="Arial"/>
          <w:szCs w:val="20"/>
        </w:rPr>
        <w:t xml:space="preserve"> Prahy </w:t>
      </w:r>
      <w:r w:rsidRPr="00065BCF">
        <w:rPr>
          <w:rFonts w:cs="Arial"/>
          <w:b/>
          <w:szCs w:val="20"/>
        </w:rPr>
        <w:t>(sleva 5 %)</w:t>
      </w: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ind w:left="284" w:hanging="284"/>
        <w:contextualSpacing/>
        <w:jc w:val="left"/>
        <w:rPr>
          <w:rFonts w:cs="Arial"/>
          <w:szCs w:val="20"/>
        </w:rPr>
      </w:pPr>
      <w:r>
        <w:t xml:space="preserve">Bludiště na Petříně, Petřínská rozhledna, zvonice chrámu svatého Mikuláše, Malostranská mostecká věž, Staroměstská mostecká věž, Staroměstská radnice – historické sály, věž, podzemní a Prašná brána </w:t>
      </w:r>
      <w:r w:rsidRPr="00065BCF">
        <w:rPr>
          <w:rFonts w:cs="Arial"/>
          <w:b/>
          <w:szCs w:val="20"/>
        </w:rPr>
        <w:t>(sleva až 50 %)</w:t>
      </w:r>
    </w:p>
    <w:p w:rsidR="003F063C" w:rsidRPr="00065BCF" w:rsidRDefault="003F063C" w:rsidP="00184A4C">
      <w:pPr>
        <w:pStyle w:val="ColorfulList-Accent11"/>
        <w:numPr>
          <w:ilvl w:val="0"/>
          <w:numId w:val="4"/>
        </w:numPr>
        <w:spacing w:before="0" w:after="0"/>
        <w:ind w:left="284" w:hanging="284"/>
        <w:contextualSpacing/>
        <w:jc w:val="left"/>
        <w:rPr>
          <w:rFonts w:cs="Arial"/>
          <w:szCs w:val="20"/>
        </w:rPr>
        <w:sectPr w:rsidR="003F063C" w:rsidRPr="00065BCF" w:rsidSect="00065BCF">
          <w:type w:val="continuous"/>
          <w:pgSz w:w="11906" w:h="16838"/>
          <w:pgMar w:top="720" w:right="720" w:bottom="720" w:left="720" w:header="709" w:footer="300" w:gutter="0"/>
          <w:cols w:num="2" w:space="282"/>
          <w:docGrid w:linePitch="360"/>
        </w:sectPr>
      </w:pPr>
    </w:p>
    <w:p w:rsidR="003F063C" w:rsidRPr="00065BCF" w:rsidRDefault="003F063C" w:rsidP="00065BCF">
      <w:pPr>
        <w:pStyle w:val="Heading3"/>
      </w:pPr>
      <w:r>
        <w:t>Komerční slevový program</w:t>
      </w:r>
    </w:p>
    <w:p w:rsidR="003F063C" w:rsidRPr="00E9653B" w:rsidRDefault="003F063C" w:rsidP="000B79AA">
      <w:pPr>
        <w:spacing w:before="240"/>
        <w:rPr>
          <w:rFonts w:cs="Arial"/>
          <w:szCs w:val="20"/>
        </w:rPr>
      </w:pPr>
      <w:r>
        <w:rPr>
          <w:noProof/>
          <w:lang w:eastAsia="cs-CZ"/>
        </w:rPr>
        <w:pict>
          <v:shape id="Picture 5" o:spid="_x0000_s1026" type="#_x0000_t75" style="position:absolute;left:0;text-align:left;margin-left:259.5pt;margin-top:425.25pt;width:258.75pt;height:258.75pt;z-index:251658752;visibility:visible;mso-position-horizontal-relative:margin;mso-position-vertical-relative:margin">
            <v:imagedata r:id="rId19" o:title=""/>
            <w10:wrap type="square" anchorx="margin" anchory="margin"/>
          </v:shape>
        </w:pict>
      </w:r>
      <w:r w:rsidRPr="00E9653B">
        <w:rPr>
          <w:rFonts w:cs="Arial"/>
          <w:szCs w:val="20"/>
        </w:rPr>
        <w:t xml:space="preserve">Do </w:t>
      </w:r>
      <w:r>
        <w:rPr>
          <w:rFonts w:cs="Arial"/>
          <w:szCs w:val="20"/>
        </w:rPr>
        <w:t>komerčního slevového</w:t>
      </w:r>
      <w:r w:rsidRPr="00E9653B">
        <w:rPr>
          <w:rFonts w:cs="Arial"/>
          <w:szCs w:val="20"/>
        </w:rPr>
        <w:t xml:space="preserve"> programu opencard by měly být zapojeny externí subjekty, které budou umožňovat držitelům karty </w:t>
      </w:r>
      <w:r>
        <w:rPr>
          <w:rFonts w:cs="Arial"/>
          <w:szCs w:val="20"/>
        </w:rPr>
        <w:t>využívat</w:t>
      </w:r>
      <w:r w:rsidRPr="00E9653B">
        <w:rPr>
          <w:rFonts w:cs="Arial"/>
          <w:szCs w:val="20"/>
        </w:rPr>
        <w:t xml:space="preserve"> </w:t>
      </w:r>
      <w:r w:rsidRPr="0081007E">
        <w:rPr>
          <w:rFonts w:cs="Arial"/>
          <w:b/>
          <w:szCs w:val="20"/>
        </w:rPr>
        <w:t>slevy a další benefity</w:t>
      </w:r>
      <w:r w:rsidRPr="00E9653B">
        <w:rPr>
          <w:rFonts w:cs="Arial"/>
          <w:szCs w:val="20"/>
        </w:rPr>
        <w:t xml:space="preserve"> při čerpání služeb z následujících oblastí:</w:t>
      </w:r>
      <w:r w:rsidRPr="00591152">
        <w:rPr>
          <w:noProof/>
        </w:rPr>
        <w:t xml:space="preserve"> </w:t>
      </w:r>
    </w:p>
    <w:p w:rsidR="003F063C" w:rsidRPr="00E9653B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FD5CF5">
        <w:rPr>
          <w:rFonts w:cs="Arial"/>
          <w:b/>
          <w:szCs w:val="20"/>
        </w:rPr>
        <w:t>Auto-moto</w:t>
      </w:r>
      <w:r w:rsidRPr="00E9653B">
        <w:rPr>
          <w:rFonts w:cs="Arial"/>
          <w:szCs w:val="20"/>
        </w:rPr>
        <w:t xml:space="preserve"> (autoservis, náhradní d</w:t>
      </w:r>
      <w:r>
        <w:rPr>
          <w:rFonts w:cs="Arial"/>
          <w:szCs w:val="20"/>
        </w:rPr>
        <w:t xml:space="preserve">íly, pojištění </w:t>
      </w:r>
      <w:r w:rsidRPr="00E9653B">
        <w:rPr>
          <w:rFonts w:cs="Arial"/>
          <w:szCs w:val="20"/>
        </w:rPr>
        <w:t>apod.)</w:t>
      </w: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FD5CF5">
        <w:rPr>
          <w:rFonts w:cs="Arial"/>
          <w:b/>
          <w:szCs w:val="20"/>
        </w:rPr>
        <w:t xml:space="preserve">Cestování </w:t>
      </w:r>
      <w:r w:rsidRPr="00E9653B">
        <w:rPr>
          <w:rFonts w:cs="Arial"/>
          <w:szCs w:val="20"/>
        </w:rPr>
        <w:t>(</w:t>
      </w:r>
      <w:r>
        <w:rPr>
          <w:rFonts w:cs="Arial"/>
          <w:szCs w:val="20"/>
        </w:rPr>
        <w:t>cestovní kanceláře, ubytování, cestovní pojištění</w:t>
      </w:r>
      <w:r w:rsidRPr="00E9653B">
        <w:rPr>
          <w:rFonts w:cs="Arial"/>
          <w:szCs w:val="20"/>
        </w:rPr>
        <w:t xml:space="preserve"> apod.)</w:t>
      </w:r>
    </w:p>
    <w:p w:rsidR="003F063C" w:rsidRPr="00E9653B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FD5CF5">
        <w:rPr>
          <w:rFonts w:cs="Arial"/>
          <w:b/>
          <w:szCs w:val="20"/>
        </w:rPr>
        <w:t xml:space="preserve">Nakupování </w:t>
      </w:r>
      <w:r w:rsidRPr="00E9653B">
        <w:rPr>
          <w:rFonts w:cs="Arial"/>
          <w:szCs w:val="20"/>
        </w:rPr>
        <w:t>(</w:t>
      </w:r>
      <w:r>
        <w:rPr>
          <w:rFonts w:cs="Arial"/>
          <w:szCs w:val="20"/>
        </w:rPr>
        <w:t xml:space="preserve">e-shop, </w:t>
      </w:r>
      <w:r w:rsidRPr="00E9653B">
        <w:rPr>
          <w:rFonts w:cs="Arial"/>
          <w:szCs w:val="20"/>
        </w:rPr>
        <w:t>r</w:t>
      </w:r>
      <w:r>
        <w:rPr>
          <w:rFonts w:cs="Arial"/>
          <w:szCs w:val="20"/>
        </w:rPr>
        <w:t>etailové řetězce supermarketů a </w:t>
      </w:r>
      <w:r w:rsidRPr="00E9653B">
        <w:rPr>
          <w:rFonts w:cs="Arial"/>
          <w:szCs w:val="20"/>
        </w:rPr>
        <w:t>hypermarketů apod.)</w:t>
      </w:r>
    </w:p>
    <w:p w:rsidR="003F063C" w:rsidRPr="00E9653B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FD5CF5">
        <w:rPr>
          <w:rFonts w:cs="Arial"/>
          <w:b/>
          <w:szCs w:val="20"/>
        </w:rPr>
        <w:t xml:space="preserve">Restaurace a občerstvení </w:t>
      </w:r>
      <w:r w:rsidRPr="00E9653B">
        <w:rPr>
          <w:rFonts w:cs="Arial"/>
          <w:szCs w:val="20"/>
        </w:rPr>
        <w:t>(řetězce fast food apod.)</w:t>
      </w: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FD5CF5">
        <w:rPr>
          <w:rFonts w:cs="Arial"/>
          <w:b/>
          <w:szCs w:val="20"/>
        </w:rPr>
        <w:t>Sport</w:t>
      </w:r>
      <w:r w:rsidRPr="00E9653B">
        <w:rPr>
          <w:rFonts w:cs="Arial"/>
          <w:szCs w:val="20"/>
        </w:rPr>
        <w:t xml:space="preserve"> (vstupy na stadion</w:t>
      </w:r>
      <w:r>
        <w:rPr>
          <w:rFonts w:cs="Arial"/>
          <w:szCs w:val="20"/>
        </w:rPr>
        <w:t>y,</w:t>
      </w:r>
      <w:r w:rsidRPr="00E965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sportoviště</w:t>
      </w:r>
      <w:r w:rsidRPr="00E9653B">
        <w:rPr>
          <w:rFonts w:cs="Arial"/>
          <w:szCs w:val="20"/>
        </w:rPr>
        <w:t>, fitness</w:t>
      </w:r>
      <w:r>
        <w:rPr>
          <w:rFonts w:cs="Arial"/>
          <w:szCs w:val="20"/>
        </w:rPr>
        <w:t xml:space="preserve"> </w:t>
      </w:r>
      <w:r w:rsidRPr="00E9653B">
        <w:rPr>
          <w:rFonts w:cs="Arial"/>
          <w:szCs w:val="20"/>
        </w:rPr>
        <w:t>apod.)</w:t>
      </w:r>
    </w:p>
    <w:p w:rsidR="003F063C" w:rsidRPr="00E9653B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FD5CF5">
        <w:rPr>
          <w:rFonts w:cs="Arial"/>
          <w:b/>
          <w:szCs w:val="20"/>
        </w:rPr>
        <w:t>Zábava</w:t>
      </w:r>
      <w:r w:rsidRPr="00E9653B">
        <w:rPr>
          <w:rFonts w:cs="Arial"/>
          <w:szCs w:val="20"/>
        </w:rPr>
        <w:t xml:space="preserve"> (kina, </w:t>
      </w:r>
      <w:r>
        <w:rPr>
          <w:rFonts w:cs="Arial"/>
          <w:szCs w:val="20"/>
        </w:rPr>
        <w:t xml:space="preserve">koncerty, výstavy </w:t>
      </w:r>
      <w:r w:rsidRPr="00E9653B">
        <w:rPr>
          <w:rFonts w:cs="Arial"/>
          <w:szCs w:val="20"/>
        </w:rPr>
        <w:t>apod.)</w:t>
      </w:r>
    </w:p>
    <w:p w:rsidR="003F063C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FD5CF5">
        <w:rPr>
          <w:rFonts w:cs="Arial"/>
          <w:b/>
          <w:szCs w:val="20"/>
        </w:rPr>
        <w:t>Zdraví a péče</w:t>
      </w:r>
      <w:r w:rsidRPr="00E9653B">
        <w:rPr>
          <w:rFonts w:cs="Arial"/>
          <w:szCs w:val="20"/>
        </w:rPr>
        <w:t xml:space="preserve"> (lékárny, masáže apod.)</w:t>
      </w:r>
    </w:p>
    <w:p w:rsidR="003F063C" w:rsidRPr="00E9653B" w:rsidRDefault="003F063C" w:rsidP="00184A4C">
      <w:pPr>
        <w:pStyle w:val="ColorfulList-Accent11"/>
        <w:numPr>
          <w:ilvl w:val="0"/>
          <w:numId w:val="4"/>
        </w:numPr>
        <w:spacing w:before="0" w:after="0"/>
        <w:ind w:left="426" w:hanging="284"/>
        <w:contextualSpacing/>
        <w:jc w:val="left"/>
        <w:rPr>
          <w:rFonts w:cs="Arial"/>
          <w:szCs w:val="20"/>
        </w:rPr>
      </w:pPr>
      <w:r w:rsidRPr="00FD5CF5">
        <w:rPr>
          <w:rFonts w:cs="Arial"/>
          <w:b/>
          <w:szCs w:val="20"/>
        </w:rPr>
        <w:t>Volný čas</w:t>
      </w:r>
      <w:r>
        <w:rPr>
          <w:rFonts w:cs="Arial"/>
          <w:szCs w:val="20"/>
        </w:rPr>
        <w:t xml:space="preserve"> (areály volného času – Žluté lázně, Výstaviště Holešovice apod.)</w:t>
      </w:r>
    </w:p>
    <w:p w:rsidR="003F063C" w:rsidRPr="004A7D96" w:rsidRDefault="003F063C" w:rsidP="000B79AA">
      <w:r>
        <w:t xml:space="preserve">Z důvodu ověření platnosti opencard a z důvodu vyhodnocování rozsahu poskytnutých slev, bude vytvořen </w:t>
      </w:r>
      <w:r w:rsidRPr="008D0AB5">
        <w:rPr>
          <w:b/>
        </w:rPr>
        <w:t>samostatný terminál</w:t>
      </w:r>
      <w:r>
        <w:t>, který bude moci používat jakákoli instituce (městská i komerční) zapojená do slevového programu.</w:t>
      </w:r>
    </w:p>
    <w:p w:rsidR="003F063C" w:rsidRDefault="003F063C" w:rsidP="000B79AA">
      <w:pPr>
        <w:pStyle w:val="Heading3"/>
      </w:pPr>
      <w:r w:rsidRPr="0007670B">
        <w:t>Internetové podání žádosti o opencard</w:t>
      </w:r>
    </w:p>
    <w:p w:rsidR="003F063C" w:rsidRPr="00FD5CF5" w:rsidRDefault="003F063C" w:rsidP="000B79AA">
      <w:r>
        <w:t xml:space="preserve">Cílem služby je </w:t>
      </w:r>
      <w:r w:rsidRPr="00FD5710">
        <w:rPr>
          <w:b/>
        </w:rPr>
        <w:t>zvýšit komfort žadatelů</w:t>
      </w:r>
      <w:r>
        <w:t xml:space="preserve"> o opencard a téměř eliminovat návštěvu kontaktních míst. Opencard objednanou přes internet </w:t>
      </w:r>
      <w:r w:rsidRPr="00FD5710">
        <w:rPr>
          <w:b/>
        </w:rPr>
        <w:t>bude možné vyzvednout osobním odběrem</w:t>
      </w:r>
      <w:r>
        <w:t xml:space="preserve"> na kontaktním místě, případně </w:t>
      </w:r>
      <w:r w:rsidRPr="00F14748">
        <w:rPr>
          <w:b/>
        </w:rPr>
        <w:t>nechat zaslat poštou</w:t>
      </w:r>
      <w:r>
        <w:rPr>
          <w:b/>
        </w:rPr>
        <w:t xml:space="preserve"> </w:t>
      </w:r>
      <w:r w:rsidRPr="00F14748">
        <w:t xml:space="preserve">či </w:t>
      </w:r>
      <w:r w:rsidRPr="00F14748">
        <w:rPr>
          <w:b/>
        </w:rPr>
        <w:t>doručit kurýrní službou</w:t>
      </w:r>
      <w:r>
        <w:rPr>
          <w:b/>
        </w:rPr>
        <w:t xml:space="preserve">, </w:t>
      </w:r>
      <w:r w:rsidRPr="00C41C5A">
        <w:t>bude-li možné zajistit tímto způsobem ověření totožnosti žadatele.</w:t>
      </w:r>
      <w:r>
        <w:rPr>
          <w:b/>
        </w:rPr>
        <w:t xml:space="preserve"> </w:t>
      </w:r>
      <w:r w:rsidRPr="00FD5CF5">
        <w:t xml:space="preserve">Při podání žádosti </w:t>
      </w:r>
      <w:r>
        <w:t xml:space="preserve">prostřednictvím internetu </w:t>
      </w:r>
      <w:r w:rsidRPr="00FD5CF5">
        <w:rPr>
          <w:b/>
        </w:rPr>
        <w:t>zaplatí žadatel vratnou zálohu</w:t>
      </w:r>
      <w:r>
        <w:t>, která mu bude zpětně proplacena při převzetí karty.</w:t>
      </w:r>
    </w:p>
    <w:p w:rsidR="003F063C" w:rsidRPr="004A7D96" w:rsidRDefault="003F063C" w:rsidP="000B79AA">
      <w:pPr>
        <w:pStyle w:val="Heading3"/>
      </w:pPr>
      <w:r w:rsidRPr="0007670B">
        <w:t>Studentská karta</w:t>
      </w:r>
      <w:r>
        <w:t xml:space="preserve"> </w:t>
      </w:r>
    </w:p>
    <w:p w:rsidR="003F063C" w:rsidRDefault="003F063C" w:rsidP="000F42C6">
      <w:pPr>
        <w:spacing w:after="60"/>
      </w:pPr>
      <w:r>
        <w:t xml:space="preserve">Bude se jednat o </w:t>
      </w:r>
      <w:r w:rsidRPr="002D0CB4">
        <w:t xml:space="preserve">ko-brandovanou verzi </w:t>
      </w:r>
      <w:r w:rsidRPr="002D0CB4">
        <w:rPr>
          <w:b/>
        </w:rPr>
        <w:t>opencard, která bude sloužit zároveň jako karta střední či vysoké školy</w:t>
      </w:r>
      <w:r w:rsidRPr="009E4C85">
        <w:t xml:space="preserve">. </w:t>
      </w:r>
      <w:r>
        <w:t>Škola</w:t>
      </w:r>
      <w:r w:rsidRPr="009E4C85">
        <w:t xml:space="preserve"> ji bude moci využívat pro svoje vlastní aplikace (</w:t>
      </w:r>
      <w:r w:rsidRPr="002D0CB4">
        <w:rPr>
          <w:b/>
        </w:rPr>
        <w:t>kopírování, knihovny, menzy</w:t>
      </w:r>
      <w:r w:rsidRPr="009E4C85">
        <w:t xml:space="preserve"> apod.). Karta by měla existovat i ve verzi </w:t>
      </w:r>
      <w:r w:rsidRPr="002D0CB4">
        <w:rPr>
          <w:b/>
        </w:rPr>
        <w:t>ko-brandované s mezinárodním programem ISIC</w:t>
      </w:r>
      <w:r w:rsidRPr="009E4C85">
        <w:t>, aby studentům umožnila používat jednu kartu služby veřejné dopravy, města, školy i slev v rámci systému ISIC.</w:t>
      </w:r>
    </w:p>
    <w:p w:rsidR="003F063C" w:rsidRPr="00B45F53" w:rsidRDefault="003F063C" w:rsidP="000F42C6">
      <w:pPr>
        <w:pStyle w:val="Heading3"/>
      </w:pPr>
      <w:r>
        <w:t>Turistická karta a krátkodobé turistické kupóny</w:t>
      </w:r>
    </w:p>
    <w:p w:rsidR="003F063C" w:rsidRDefault="003F063C" w:rsidP="000B79AA">
      <w:pPr>
        <w:rPr>
          <w:rFonts w:cs="Arial"/>
          <w:szCs w:val="20"/>
        </w:rPr>
      </w:pPr>
      <w:r w:rsidRPr="001E08FD">
        <w:rPr>
          <w:rFonts w:cs="Arial"/>
          <w:szCs w:val="20"/>
        </w:rPr>
        <w:t xml:space="preserve">Výhody, které bude opencard nabízet Pražanům, by měly být </w:t>
      </w:r>
      <w:r w:rsidRPr="001E08FD">
        <w:rPr>
          <w:rFonts w:cs="Arial"/>
          <w:b/>
          <w:szCs w:val="20"/>
        </w:rPr>
        <w:t>dostupné i turistům a návštěvníkům Prahy</w:t>
      </w:r>
      <w:r>
        <w:rPr>
          <w:rFonts w:cs="Arial"/>
          <w:szCs w:val="20"/>
        </w:rPr>
        <w:t>.</w:t>
      </w:r>
      <w:r w:rsidRPr="001E08F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Ti</w:t>
      </w:r>
      <w:r w:rsidRPr="001E08FD">
        <w:rPr>
          <w:rFonts w:cs="Arial"/>
          <w:szCs w:val="20"/>
        </w:rPr>
        <w:t xml:space="preserve"> budou mít možnost koupit si </w:t>
      </w:r>
      <w:r>
        <w:rPr>
          <w:rFonts w:cs="Arial"/>
          <w:szCs w:val="20"/>
        </w:rPr>
        <w:t xml:space="preserve">tzv. </w:t>
      </w:r>
      <w:r w:rsidRPr="00C27E9A">
        <w:rPr>
          <w:rFonts w:cs="Arial"/>
          <w:b/>
          <w:szCs w:val="20"/>
        </w:rPr>
        <w:t>turistickou kartu</w:t>
      </w:r>
      <w:r>
        <w:rPr>
          <w:rFonts w:cs="Arial"/>
          <w:szCs w:val="20"/>
        </w:rPr>
        <w:t xml:space="preserve"> </w:t>
      </w:r>
      <w:r w:rsidRPr="001E08FD">
        <w:rPr>
          <w:rFonts w:cs="Arial"/>
          <w:b/>
          <w:szCs w:val="20"/>
        </w:rPr>
        <w:t xml:space="preserve">opencard s třídenním elektronickým kupónem </w:t>
      </w:r>
      <w:r w:rsidRPr="001E08FD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 možností </w:t>
      </w:r>
      <w:r w:rsidRPr="001E08FD">
        <w:rPr>
          <w:rFonts w:cs="Arial"/>
          <w:szCs w:val="20"/>
        </w:rPr>
        <w:t>odložen</w:t>
      </w:r>
      <w:r>
        <w:rPr>
          <w:rFonts w:cs="Arial"/>
          <w:szCs w:val="20"/>
        </w:rPr>
        <w:t>é</w:t>
      </w:r>
      <w:r w:rsidRPr="001E08FD">
        <w:rPr>
          <w:rFonts w:cs="Arial"/>
          <w:szCs w:val="20"/>
        </w:rPr>
        <w:t xml:space="preserve"> aktivac</w:t>
      </w:r>
      <w:r>
        <w:rPr>
          <w:rFonts w:cs="Arial"/>
          <w:szCs w:val="20"/>
        </w:rPr>
        <w:t xml:space="preserve">e a dále s balíčkem vybraných služeb (např. </w:t>
      </w:r>
      <w:r w:rsidRPr="002D0CB4">
        <w:rPr>
          <w:rFonts w:cs="Arial"/>
          <w:b/>
          <w:szCs w:val="20"/>
        </w:rPr>
        <w:t>vstupy do památek</w:t>
      </w:r>
      <w:r>
        <w:rPr>
          <w:rFonts w:cs="Arial"/>
          <w:szCs w:val="20"/>
        </w:rPr>
        <w:t>, turistický atraktivních institucí, na výstavy apod.)</w:t>
      </w:r>
      <w:r w:rsidRPr="001E08FD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2D0CB4">
        <w:rPr>
          <w:rFonts w:cs="Arial"/>
          <w:b/>
          <w:szCs w:val="20"/>
        </w:rPr>
        <w:t>Karta bude z</w:t>
      </w:r>
      <w:r>
        <w:rPr>
          <w:rFonts w:cs="Arial"/>
          <w:b/>
          <w:szCs w:val="20"/>
        </w:rPr>
        <w:t xml:space="preserve">poplatněna </w:t>
      </w:r>
      <w:r w:rsidRPr="002D0CB4">
        <w:rPr>
          <w:rFonts w:cs="Arial"/>
          <w:szCs w:val="20"/>
        </w:rPr>
        <w:t>a bude k dispozici</w:t>
      </w:r>
      <w:r>
        <w:rPr>
          <w:rFonts w:cs="Arial"/>
          <w:szCs w:val="20"/>
        </w:rPr>
        <w:t xml:space="preserve"> ve speciální distribuční síti (zpočátku v </w:t>
      </w:r>
      <w:r w:rsidRPr="002D0CB4">
        <w:rPr>
          <w:rFonts w:cs="Arial"/>
          <w:b/>
          <w:szCs w:val="20"/>
        </w:rPr>
        <w:t>infocentrech DPHMP</w:t>
      </w:r>
      <w:r>
        <w:rPr>
          <w:rFonts w:cs="Arial"/>
          <w:szCs w:val="20"/>
        </w:rPr>
        <w:t xml:space="preserve"> a </w:t>
      </w:r>
      <w:r w:rsidRPr="002D0CB4">
        <w:rPr>
          <w:rFonts w:cs="Arial"/>
          <w:b/>
          <w:szCs w:val="20"/>
        </w:rPr>
        <w:t>infostáncích Pražské informační služby</w:t>
      </w:r>
      <w:r>
        <w:rPr>
          <w:rFonts w:cs="Arial"/>
          <w:szCs w:val="20"/>
        </w:rPr>
        <w:t xml:space="preserve">). V budoucnu bude distribuční síť rozšířena na PNS. Třídenní kupón, pokud nebude automatickou součástí turistické karty, bude k dostání na přepážkách DPHMP a v e-shopu. </w:t>
      </w:r>
    </w:p>
    <w:p w:rsidR="003F063C" w:rsidRPr="00C802D4" w:rsidRDefault="003F063C" w:rsidP="000B79AA">
      <w:pPr>
        <w:pStyle w:val="Heading3"/>
        <w:rPr>
          <w:szCs w:val="20"/>
        </w:rPr>
      </w:pPr>
      <w:r>
        <w:t>Kupón 70+</w:t>
      </w:r>
    </w:p>
    <w:p w:rsidR="003F063C" w:rsidRPr="00F83D64" w:rsidRDefault="003F063C" w:rsidP="000B79AA">
      <w:r>
        <w:t xml:space="preserve">Služba zavede </w:t>
      </w:r>
      <w:r w:rsidRPr="002D0CB4">
        <w:rPr>
          <w:b/>
        </w:rPr>
        <w:t>„bezplatný“ kupón pro kategorii seniorů starších 70 let</w:t>
      </w:r>
      <w:r>
        <w:t xml:space="preserve">. Tito cestující s nárokem na bezplatnou přepravu tak </w:t>
      </w:r>
      <w:r w:rsidRPr="002D0CB4">
        <w:rPr>
          <w:b/>
        </w:rPr>
        <w:t>nebudou do budoucna muset prokazovat svůj věk občanským průkazem</w:t>
      </w:r>
      <w:r>
        <w:t xml:space="preserve"> a budou moci využívat </w:t>
      </w:r>
      <w:r w:rsidRPr="002D0CB4">
        <w:rPr>
          <w:b/>
        </w:rPr>
        <w:t>slevu na jízdné i v rámci prostředků Českých drah</w:t>
      </w:r>
      <w:r>
        <w:t>.</w:t>
      </w:r>
    </w:p>
    <w:p w:rsidR="003F063C" w:rsidRDefault="003F063C" w:rsidP="000F42C6">
      <w:pPr>
        <w:pStyle w:val="Heading2"/>
        <w:spacing w:before="240" w:after="80"/>
      </w:pPr>
      <w:r>
        <w:t>Další postup</w:t>
      </w:r>
    </w:p>
    <w:p w:rsidR="003F063C" w:rsidRDefault="003F063C" w:rsidP="000B79AA">
      <w:pPr>
        <w:rPr>
          <w:rFonts w:cs="Arial"/>
          <w:szCs w:val="20"/>
        </w:rPr>
      </w:pPr>
      <w:r w:rsidRPr="00E9653B">
        <w:rPr>
          <w:rFonts w:cs="Arial"/>
          <w:szCs w:val="20"/>
        </w:rPr>
        <w:t>Mezi navazujíc</w:t>
      </w:r>
      <w:r>
        <w:rPr>
          <w:rFonts w:cs="Arial"/>
          <w:szCs w:val="20"/>
        </w:rPr>
        <w:t>í klíčové kroky patří především:</w:t>
      </w:r>
    </w:p>
    <w:p w:rsidR="003F063C" w:rsidRPr="007445FB" w:rsidRDefault="003F063C" w:rsidP="00184A4C">
      <w:pPr>
        <w:pStyle w:val="ColorfulList-Accent11"/>
        <w:numPr>
          <w:ilvl w:val="0"/>
          <w:numId w:val="12"/>
        </w:numPr>
        <w:rPr>
          <w:rFonts w:cs="Arial"/>
          <w:szCs w:val="20"/>
        </w:rPr>
      </w:pPr>
      <w:r w:rsidRPr="007445FB">
        <w:rPr>
          <w:rFonts w:cs="Arial"/>
          <w:b/>
          <w:szCs w:val="20"/>
        </w:rPr>
        <w:t>Rozhodnutí o realizaci navržených služeb</w:t>
      </w:r>
      <w:r w:rsidRPr="007445FB">
        <w:rPr>
          <w:rFonts w:cs="Arial"/>
          <w:szCs w:val="20"/>
        </w:rPr>
        <w:t>;</w:t>
      </w:r>
    </w:p>
    <w:p w:rsidR="003F063C" w:rsidRPr="0003529F" w:rsidRDefault="003F063C" w:rsidP="00184A4C">
      <w:pPr>
        <w:pStyle w:val="ColorfulList-Accent11"/>
        <w:numPr>
          <w:ilvl w:val="0"/>
          <w:numId w:val="12"/>
        </w:num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Jednání s ROPID a úprava Tarifu </w:t>
      </w:r>
      <w:r w:rsidRPr="0003529F">
        <w:rPr>
          <w:rFonts w:cs="Arial"/>
          <w:szCs w:val="20"/>
        </w:rPr>
        <w:t>v souvislosti se za</w:t>
      </w:r>
      <w:r>
        <w:rPr>
          <w:rFonts w:cs="Arial"/>
          <w:szCs w:val="20"/>
        </w:rPr>
        <w:t>vedením ročního klouzavého kupó</w:t>
      </w:r>
      <w:r w:rsidRPr="0003529F">
        <w:rPr>
          <w:rFonts w:cs="Arial"/>
          <w:szCs w:val="20"/>
        </w:rPr>
        <w:t xml:space="preserve">nu, </w:t>
      </w:r>
      <w:r>
        <w:rPr>
          <w:rFonts w:cs="Arial"/>
          <w:szCs w:val="20"/>
        </w:rPr>
        <w:t xml:space="preserve">možností jeho přerušení a </w:t>
      </w:r>
      <w:r w:rsidRPr="0003529F">
        <w:rPr>
          <w:rFonts w:cs="Arial"/>
          <w:szCs w:val="20"/>
        </w:rPr>
        <w:t>za</w:t>
      </w:r>
      <w:r>
        <w:rPr>
          <w:rFonts w:cs="Arial"/>
          <w:szCs w:val="20"/>
        </w:rPr>
        <w:t xml:space="preserve">vedením </w:t>
      </w:r>
      <w:r w:rsidRPr="0003529F">
        <w:rPr>
          <w:rFonts w:cs="Arial"/>
          <w:szCs w:val="20"/>
        </w:rPr>
        <w:t>třídenního turistického kupónu a kupónu 70+</w:t>
      </w:r>
      <w:r>
        <w:rPr>
          <w:rFonts w:cs="Arial"/>
          <w:szCs w:val="20"/>
        </w:rPr>
        <w:t>;</w:t>
      </w:r>
    </w:p>
    <w:p w:rsidR="003F063C" w:rsidRDefault="003F063C" w:rsidP="00184A4C">
      <w:pPr>
        <w:pStyle w:val="ColorfulList-Accent11"/>
        <w:numPr>
          <w:ilvl w:val="0"/>
          <w:numId w:val="12"/>
        </w:numPr>
        <w:rPr>
          <w:rFonts w:cs="Arial"/>
          <w:szCs w:val="20"/>
        </w:rPr>
      </w:pPr>
      <w:r w:rsidRPr="007445FB">
        <w:rPr>
          <w:rFonts w:cs="Arial"/>
          <w:b/>
          <w:szCs w:val="20"/>
        </w:rPr>
        <w:t>Strategická koncepce věrnostního programu</w:t>
      </w:r>
      <w:r w:rsidRPr="007445FB">
        <w:rPr>
          <w:rFonts w:cs="Arial"/>
          <w:szCs w:val="20"/>
        </w:rPr>
        <w:t xml:space="preserve"> (tj. určení výše, rozsahu a struktury odměn) a </w:t>
      </w:r>
      <w:r w:rsidRPr="007445FB">
        <w:rPr>
          <w:rFonts w:cs="Arial"/>
          <w:b/>
          <w:szCs w:val="20"/>
        </w:rPr>
        <w:t>zahájení jednání s potenciálními partner</w:t>
      </w:r>
      <w:r w:rsidRPr="007445FB">
        <w:rPr>
          <w:rFonts w:cs="Arial"/>
          <w:szCs w:val="20"/>
        </w:rPr>
        <w:t xml:space="preserve">y </w:t>
      </w:r>
      <w:r>
        <w:rPr>
          <w:rFonts w:cs="Arial"/>
          <w:szCs w:val="20"/>
        </w:rPr>
        <w:t>slevového</w:t>
      </w:r>
      <w:r w:rsidRPr="007445FB">
        <w:rPr>
          <w:rFonts w:cs="Arial"/>
          <w:szCs w:val="20"/>
        </w:rPr>
        <w:t xml:space="preserve"> programu</w:t>
      </w:r>
      <w:r>
        <w:rPr>
          <w:rFonts w:cs="Arial"/>
          <w:szCs w:val="20"/>
        </w:rPr>
        <w:t xml:space="preserve">; </w:t>
      </w:r>
      <w:r w:rsidRPr="002D0CB4">
        <w:rPr>
          <w:rFonts w:cs="Arial"/>
          <w:b/>
          <w:szCs w:val="20"/>
        </w:rPr>
        <w:t xml:space="preserve">realizace </w:t>
      </w:r>
      <w:r>
        <w:rPr>
          <w:rFonts w:cs="Arial"/>
          <w:b/>
          <w:szCs w:val="20"/>
        </w:rPr>
        <w:t xml:space="preserve">výběrových </w:t>
      </w:r>
      <w:r w:rsidRPr="002D0CB4">
        <w:rPr>
          <w:rFonts w:cs="Arial"/>
          <w:b/>
          <w:szCs w:val="20"/>
        </w:rPr>
        <w:t xml:space="preserve">řízení </w:t>
      </w:r>
      <w:r>
        <w:rPr>
          <w:rFonts w:cs="Arial"/>
          <w:szCs w:val="20"/>
        </w:rPr>
        <w:t xml:space="preserve">pro každou oblast komerčního slevového programu. Do slevového programu </w:t>
      </w:r>
      <w:r w:rsidRPr="002D0CB4">
        <w:rPr>
          <w:rFonts w:cs="Arial"/>
          <w:b/>
          <w:szCs w:val="20"/>
        </w:rPr>
        <w:t xml:space="preserve">budou </w:t>
      </w:r>
      <w:r>
        <w:rPr>
          <w:rFonts w:cs="Arial"/>
          <w:b/>
          <w:szCs w:val="20"/>
        </w:rPr>
        <w:t>vybráni uchazeči</w:t>
      </w:r>
      <w:r w:rsidRPr="002D0CB4">
        <w:rPr>
          <w:rFonts w:cs="Arial"/>
          <w:b/>
          <w:szCs w:val="20"/>
        </w:rPr>
        <w:t xml:space="preserve"> s nejatraktivnější nabídkou benefitů pro Pražany</w:t>
      </w:r>
      <w:r>
        <w:rPr>
          <w:rFonts w:cs="Arial"/>
          <w:szCs w:val="20"/>
        </w:rPr>
        <w:t xml:space="preserve">. Zároveň bude zaveden systém </w:t>
      </w:r>
      <w:r w:rsidRPr="002D0CB4">
        <w:rPr>
          <w:rFonts w:cs="Arial"/>
          <w:b/>
          <w:szCs w:val="20"/>
        </w:rPr>
        <w:t>exkluzivního partnera</w:t>
      </w:r>
      <w:r>
        <w:rPr>
          <w:rFonts w:cs="Arial"/>
          <w:szCs w:val="20"/>
        </w:rPr>
        <w:t xml:space="preserve"> v jednotlivých oblastech na maximální dobu 2 let.</w:t>
      </w:r>
    </w:p>
    <w:p w:rsidR="003F063C" w:rsidRDefault="003F063C" w:rsidP="00184A4C">
      <w:pPr>
        <w:pStyle w:val="ColorfulList-Accent11"/>
        <w:numPr>
          <w:ilvl w:val="0"/>
          <w:numId w:val="12"/>
        </w:numPr>
        <w:rPr>
          <w:rFonts w:cs="Arial"/>
          <w:szCs w:val="20"/>
        </w:rPr>
      </w:pPr>
      <w:r w:rsidRPr="0003529F">
        <w:rPr>
          <w:rFonts w:cs="Arial"/>
          <w:szCs w:val="20"/>
        </w:rPr>
        <w:t>Zahájení jednání s</w:t>
      </w:r>
      <w:r>
        <w:rPr>
          <w:rFonts w:cs="Arial"/>
          <w:szCs w:val="20"/>
        </w:rPr>
        <w:t xml:space="preserve"> vybranými</w:t>
      </w:r>
      <w:r w:rsidRPr="0003529F">
        <w:rPr>
          <w:rFonts w:cs="Arial"/>
          <w:szCs w:val="20"/>
        </w:rPr>
        <w:t xml:space="preserve"> školami</w:t>
      </w:r>
      <w:r>
        <w:rPr>
          <w:rFonts w:cs="Arial"/>
          <w:szCs w:val="20"/>
        </w:rPr>
        <w:t>.</w:t>
      </w:r>
    </w:p>
    <w:p w:rsidR="003F063C" w:rsidRPr="002C1A4E" w:rsidRDefault="003F063C" w:rsidP="00184A4C">
      <w:pPr>
        <w:pStyle w:val="ColorfulList-Accent11"/>
        <w:numPr>
          <w:ilvl w:val="0"/>
          <w:numId w:val="12"/>
        </w:numPr>
        <w:rPr>
          <w:rFonts w:cs="Arial"/>
          <w:szCs w:val="20"/>
        </w:rPr>
        <w:sectPr w:rsidR="003F063C" w:rsidRPr="002C1A4E" w:rsidSect="000B79AA">
          <w:type w:val="continuous"/>
          <w:pgSz w:w="11906" w:h="16838"/>
          <w:pgMar w:top="720" w:right="720" w:bottom="720" w:left="720" w:header="709" w:footer="300" w:gutter="0"/>
          <w:cols w:space="708"/>
          <w:docGrid w:linePitch="360"/>
        </w:sectPr>
      </w:pPr>
    </w:p>
    <w:p w:rsidR="003F063C" w:rsidRDefault="003F063C" w:rsidP="000B79AA">
      <w:pPr>
        <w:ind w:left="360"/>
        <w:rPr>
          <w:rFonts w:cs="Arial"/>
          <w:szCs w:val="20"/>
        </w:rPr>
      </w:pPr>
      <w:r w:rsidRPr="009104EE">
        <w:rPr>
          <w:noProof/>
          <w:szCs w:val="20"/>
          <w:lang w:eastAsia="cs-CZ"/>
        </w:rPr>
        <w:pict>
          <v:shape id="_x0000_i1031" type="#_x0000_t75" style="width:1112.25pt;height:777pt;visibility:visible">
            <v:imagedata r:id="rId20" o:title=""/>
          </v:shape>
        </w:pict>
      </w:r>
    </w:p>
    <w:p w:rsidR="003F063C" w:rsidRDefault="003F063C" w:rsidP="000B79AA">
      <w:pPr>
        <w:ind w:left="360"/>
        <w:rPr>
          <w:rFonts w:cs="Arial"/>
          <w:szCs w:val="20"/>
        </w:rPr>
        <w:sectPr w:rsidR="003F063C" w:rsidSect="000B79AA">
          <w:pgSz w:w="23814" w:h="16839" w:orient="landscape" w:code="8"/>
          <w:pgMar w:top="720" w:right="720" w:bottom="720" w:left="720" w:header="709" w:footer="300" w:gutter="0"/>
          <w:cols w:space="708"/>
          <w:docGrid w:linePitch="360"/>
        </w:sectPr>
      </w:pPr>
    </w:p>
    <w:p w:rsidR="003F063C" w:rsidRDefault="003F063C" w:rsidP="000B79AA">
      <w:pPr>
        <w:pStyle w:val="Heading1"/>
      </w:pPr>
      <w:r>
        <w:t>Harmonogram a rozpočet</w:t>
      </w:r>
    </w:p>
    <w:p w:rsidR="003F063C" w:rsidRPr="00211CF3" w:rsidRDefault="003F063C" w:rsidP="000B79AA">
      <w:pPr>
        <w:pStyle w:val="Bodytext"/>
        <w:spacing w:after="120"/>
        <w:rPr>
          <w:sz w:val="20"/>
          <w:szCs w:val="20"/>
        </w:rPr>
      </w:pPr>
      <w:r w:rsidRPr="00211CF3">
        <w:rPr>
          <w:sz w:val="20"/>
          <w:szCs w:val="20"/>
        </w:rPr>
        <w:t>Celkový přehled dalších kroků projektu opencard v letech 2010 a 2011 je v následujícím schématu.</w:t>
      </w:r>
    </w:p>
    <w:p w:rsidR="003F063C" w:rsidRDefault="003F063C" w:rsidP="000B79AA">
      <w:pPr>
        <w:pStyle w:val="Bodytext"/>
      </w:pPr>
      <w:r>
        <w:rPr>
          <w:noProof/>
          <w:lang w:eastAsia="cs-CZ"/>
        </w:rPr>
        <w:pict>
          <v:shape id="_x0000_i1032" type="#_x0000_t75" style="width:521.25pt;height:282pt;visibility:visible">
            <v:imagedata r:id="rId21" o:title=""/>
          </v:shape>
        </w:pict>
      </w:r>
    </w:p>
    <w:p w:rsidR="003F063C" w:rsidRPr="00211CF3" w:rsidRDefault="003F063C" w:rsidP="000B79AA">
      <w:pPr>
        <w:pStyle w:val="Bodytext"/>
        <w:spacing w:before="120"/>
        <w:rPr>
          <w:rFonts w:cs="Arial"/>
          <w:sz w:val="20"/>
          <w:szCs w:val="20"/>
        </w:rPr>
      </w:pPr>
      <w:r w:rsidRPr="00211CF3">
        <w:rPr>
          <w:rFonts w:cs="Arial"/>
          <w:sz w:val="20"/>
          <w:szCs w:val="20"/>
        </w:rPr>
        <w:t>Kritickými podmínkami pro další rozvoj projektu dle předloženého scénáře jsou</w:t>
      </w:r>
      <w:r>
        <w:rPr>
          <w:rFonts w:cs="Arial"/>
          <w:sz w:val="20"/>
          <w:szCs w:val="20"/>
        </w:rPr>
        <w:t>:</w:t>
      </w:r>
      <w:r w:rsidRPr="00211CF3">
        <w:rPr>
          <w:rFonts w:cs="Arial"/>
          <w:sz w:val="20"/>
          <w:szCs w:val="20"/>
        </w:rPr>
        <w:t xml:space="preserve"> </w:t>
      </w:r>
    </w:p>
    <w:p w:rsidR="003F063C" w:rsidRPr="00211CF3" w:rsidRDefault="003F063C" w:rsidP="00184A4C">
      <w:pPr>
        <w:pStyle w:val="Bodytext"/>
        <w:numPr>
          <w:ilvl w:val="0"/>
          <w:numId w:val="5"/>
        </w:numPr>
        <w:spacing w:before="40" w:after="40"/>
        <w:ind w:left="357" w:hanging="215"/>
        <w:rPr>
          <w:rFonts w:cs="Arial"/>
          <w:sz w:val="20"/>
          <w:szCs w:val="20"/>
        </w:rPr>
      </w:pPr>
      <w:r w:rsidRPr="00153062">
        <w:rPr>
          <w:rFonts w:cs="Arial"/>
          <w:b/>
          <w:sz w:val="20"/>
          <w:szCs w:val="20"/>
        </w:rPr>
        <w:t>Dokončení migrace</w:t>
      </w:r>
      <w:r w:rsidRPr="00211CF3">
        <w:rPr>
          <w:rFonts w:cs="Arial"/>
          <w:sz w:val="20"/>
          <w:szCs w:val="20"/>
        </w:rPr>
        <w:t xml:space="preserve"> časových kupónů </w:t>
      </w:r>
      <w:r>
        <w:rPr>
          <w:rFonts w:cs="Arial"/>
          <w:sz w:val="20"/>
          <w:szCs w:val="20"/>
        </w:rPr>
        <w:t>DPHMP</w:t>
      </w:r>
      <w:r w:rsidRPr="00211CF3">
        <w:rPr>
          <w:rFonts w:cs="Arial"/>
          <w:sz w:val="20"/>
          <w:szCs w:val="20"/>
        </w:rPr>
        <w:t xml:space="preserve"> na elektronické jízdné na opencard;</w:t>
      </w:r>
    </w:p>
    <w:p w:rsidR="003F063C" w:rsidRPr="00211CF3" w:rsidRDefault="003F063C" w:rsidP="00184A4C">
      <w:pPr>
        <w:pStyle w:val="Bodytext"/>
        <w:numPr>
          <w:ilvl w:val="0"/>
          <w:numId w:val="5"/>
        </w:numPr>
        <w:spacing w:before="40" w:after="40"/>
        <w:ind w:left="357" w:hanging="215"/>
        <w:rPr>
          <w:rFonts w:cs="Arial"/>
          <w:sz w:val="20"/>
          <w:szCs w:val="20"/>
        </w:rPr>
      </w:pPr>
      <w:r w:rsidRPr="00153062">
        <w:rPr>
          <w:rFonts w:cs="Arial"/>
          <w:b/>
          <w:sz w:val="20"/>
          <w:szCs w:val="20"/>
        </w:rPr>
        <w:t>Nastavení režimu zpracování a ochrany osobních údajů</w:t>
      </w:r>
      <w:r w:rsidRPr="00211CF3">
        <w:rPr>
          <w:rFonts w:cs="Arial"/>
          <w:sz w:val="20"/>
          <w:szCs w:val="20"/>
        </w:rPr>
        <w:t xml:space="preserve"> držitelů opencard </w:t>
      </w:r>
      <w:r>
        <w:rPr>
          <w:rFonts w:cs="Arial"/>
          <w:sz w:val="20"/>
          <w:szCs w:val="20"/>
        </w:rPr>
        <w:t xml:space="preserve">společností opencard v souladu s požadavky </w:t>
      </w:r>
      <w:r w:rsidRPr="00211CF3">
        <w:rPr>
          <w:rFonts w:cs="Arial"/>
          <w:sz w:val="20"/>
          <w:szCs w:val="20"/>
        </w:rPr>
        <w:t>zákona č. 101/2000 Sb., o ochraně osobních údajů.</w:t>
      </w:r>
    </w:p>
    <w:p w:rsidR="003F063C" w:rsidRPr="00211CF3" w:rsidRDefault="003F063C" w:rsidP="000B79AA">
      <w:pPr>
        <w:spacing w:before="120"/>
        <w:rPr>
          <w:rFonts w:cs="Arial"/>
          <w:szCs w:val="20"/>
        </w:rPr>
      </w:pPr>
      <w:r w:rsidRPr="00211CF3">
        <w:rPr>
          <w:rFonts w:cs="Arial"/>
          <w:szCs w:val="20"/>
        </w:rPr>
        <w:t xml:space="preserve">Dokončení migrace časových kupónů </w:t>
      </w:r>
      <w:r>
        <w:rPr>
          <w:rFonts w:cs="Arial"/>
          <w:szCs w:val="20"/>
        </w:rPr>
        <w:t>DPHMP</w:t>
      </w:r>
      <w:r w:rsidRPr="00211CF3">
        <w:rPr>
          <w:rFonts w:cs="Arial"/>
          <w:szCs w:val="20"/>
        </w:rPr>
        <w:t xml:space="preserve"> na elektronické jízdné na opencard v uvedeném časovém intervalu má dopad na velikost celkového kmene držitelů opencard. Velikost kmene ovlivňu</w:t>
      </w:r>
      <w:r>
        <w:rPr>
          <w:rFonts w:cs="Arial"/>
          <w:szCs w:val="20"/>
        </w:rPr>
        <w:t>je atraktivitu projektu jak pro </w:t>
      </w:r>
      <w:r w:rsidRPr="00211CF3">
        <w:rPr>
          <w:rFonts w:cs="Arial"/>
          <w:szCs w:val="20"/>
        </w:rPr>
        <w:t>strategického partnera, tak pro komerční účastníky projektu s dopadem do obchodního modelu projektu.</w:t>
      </w:r>
    </w:p>
    <w:p w:rsidR="003F063C" w:rsidRDefault="003F063C" w:rsidP="000B79AA">
      <w:pPr>
        <w:spacing w:before="120"/>
        <w:rPr>
          <w:rFonts w:cs="Arial"/>
          <w:szCs w:val="20"/>
        </w:rPr>
      </w:pPr>
      <w:r w:rsidRPr="00211CF3">
        <w:rPr>
          <w:rFonts w:cs="Arial"/>
          <w:szCs w:val="20"/>
        </w:rPr>
        <w:t xml:space="preserve">Nastavení režimu zpracování a ochrany </w:t>
      </w:r>
      <w:r>
        <w:rPr>
          <w:rFonts w:cs="Arial"/>
          <w:szCs w:val="20"/>
        </w:rPr>
        <w:t>osobních údajů</w:t>
      </w:r>
      <w:r w:rsidRPr="00211CF3">
        <w:rPr>
          <w:rFonts w:cs="Arial"/>
          <w:szCs w:val="20"/>
        </w:rPr>
        <w:t xml:space="preserve"> v</w:t>
      </w:r>
      <w:r>
        <w:rPr>
          <w:rFonts w:cs="Arial"/>
          <w:szCs w:val="20"/>
        </w:rPr>
        <w:t> souladu se Zákonem o ochraně osobních údajů bude klíčové nejen z pohledu ÚOOÚ, ale také z důvodu přijetí nového modelu provozu opencard ze strany veřejnosti</w:t>
      </w:r>
      <w:r w:rsidRPr="00211CF3">
        <w:rPr>
          <w:rFonts w:cs="Arial"/>
          <w:szCs w:val="20"/>
        </w:rPr>
        <w:t>.</w:t>
      </w:r>
    </w:p>
    <w:p w:rsidR="003F063C" w:rsidRDefault="003F063C" w:rsidP="000B79AA">
      <w:pPr>
        <w:spacing w:before="120"/>
        <w:rPr>
          <w:rFonts w:cs="Arial"/>
          <w:szCs w:val="20"/>
        </w:rPr>
      </w:pPr>
    </w:p>
    <w:p w:rsidR="003F063C" w:rsidRDefault="003F063C" w:rsidP="000B79AA">
      <w:pPr>
        <w:spacing w:before="120"/>
        <w:rPr>
          <w:rFonts w:cs="Arial"/>
          <w:szCs w:val="20"/>
        </w:rPr>
      </w:pPr>
    </w:p>
    <w:p w:rsidR="003F063C" w:rsidRPr="005D02B7" w:rsidRDefault="003F063C" w:rsidP="000B79AA">
      <w:pPr>
        <w:pStyle w:val="Heading2"/>
        <w:pageBreakBefore/>
        <w:spacing w:before="120"/>
      </w:pPr>
      <w:r>
        <w:t>Rozpočet</w:t>
      </w:r>
    </w:p>
    <w:p w:rsidR="003F063C" w:rsidRDefault="003F063C" w:rsidP="000B79AA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Pro období do vstupu strategického partnera bude zajištěno financování následujících tří oblastí v rámci</w:t>
      </w:r>
      <w:r w:rsidRPr="004449F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projektu:</w:t>
      </w:r>
    </w:p>
    <w:p w:rsidR="003F063C" w:rsidRDefault="003F063C" w:rsidP="00184A4C">
      <w:pPr>
        <w:pStyle w:val="ColorfulList-Accent11"/>
        <w:numPr>
          <w:ilvl w:val="0"/>
          <w:numId w:val="13"/>
        </w:numPr>
        <w:spacing w:before="0" w:after="0"/>
        <w:ind w:left="714" w:hanging="357"/>
        <w:rPr>
          <w:rFonts w:cs="Arial"/>
          <w:szCs w:val="20"/>
        </w:rPr>
      </w:pPr>
      <w:r w:rsidRPr="00153062">
        <w:rPr>
          <w:rFonts w:cs="Arial"/>
          <w:b/>
          <w:szCs w:val="20"/>
        </w:rPr>
        <w:t>Založení a vznik společnosti opencard</w:t>
      </w:r>
      <w:r>
        <w:rPr>
          <w:rFonts w:cs="Arial"/>
          <w:szCs w:val="20"/>
        </w:rPr>
        <w:t>;</w:t>
      </w:r>
    </w:p>
    <w:p w:rsidR="003F063C" w:rsidRDefault="003F063C" w:rsidP="00184A4C">
      <w:pPr>
        <w:pStyle w:val="ColorfulList-Accent11"/>
        <w:numPr>
          <w:ilvl w:val="0"/>
          <w:numId w:val="13"/>
        </w:numPr>
        <w:spacing w:before="0" w:after="0"/>
        <w:ind w:left="714" w:hanging="357"/>
        <w:rPr>
          <w:rFonts w:cs="Arial"/>
          <w:szCs w:val="20"/>
        </w:rPr>
      </w:pPr>
      <w:r w:rsidRPr="00153062">
        <w:rPr>
          <w:rFonts w:cs="Arial"/>
          <w:b/>
          <w:szCs w:val="20"/>
        </w:rPr>
        <w:t>Migrace DOS</w:t>
      </w:r>
      <w:r>
        <w:rPr>
          <w:rFonts w:cs="Arial"/>
          <w:szCs w:val="20"/>
        </w:rPr>
        <w:t>;</w:t>
      </w:r>
    </w:p>
    <w:p w:rsidR="003F063C" w:rsidRDefault="003F063C" w:rsidP="00184A4C">
      <w:pPr>
        <w:pStyle w:val="ColorfulList-Accent11"/>
        <w:numPr>
          <w:ilvl w:val="0"/>
          <w:numId w:val="13"/>
        </w:numPr>
        <w:spacing w:before="0" w:after="0"/>
        <w:ind w:left="714" w:hanging="357"/>
        <w:rPr>
          <w:rFonts w:cs="Arial"/>
          <w:szCs w:val="20"/>
        </w:rPr>
      </w:pPr>
      <w:r w:rsidRPr="00153062">
        <w:rPr>
          <w:rFonts w:cs="Arial"/>
          <w:b/>
          <w:szCs w:val="20"/>
        </w:rPr>
        <w:t>Vývoj komerčních a nekomerčních služeb a věrnostního programu</w:t>
      </w:r>
      <w:r>
        <w:rPr>
          <w:rFonts w:cs="Arial"/>
          <w:szCs w:val="20"/>
        </w:rPr>
        <w:t>.</w:t>
      </w:r>
    </w:p>
    <w:p w:rsidR="003F063C" w:rsidRPr="00C85C46" w:rsidRDefault="003F063C" w:rsidP="00CE5939">
      <w:pPr>
        <w:spacing w:before="120"/>
        <w:rPr>
          <w:b/>
          <w:color w:val="4F6228"/>
          <w:szCs w:val="20"/>
        </w:rPr>
      </w:pPr>
      <w:r>
        <w:rPr>
          <w:b/>
          <w:color w:val="4F6228"/>
          <w:szCs w:val="20"/>
        </w:rPr>
        <w:t>Rozpočet založení nové společnosti opencard</w:t>
      </w:r>
    </w:p>
    <w:p w:rsidR="003F063C" w:rsidRDefault="003F063C" w:rsidP="000B79AA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Celková výše nákladů souvisejících se založením a administrativním vznikem dceřiné společnosti DPHMP dosahuje výše cca </w:t>
      </w:r>
      <w:r w:rsidRPr="00484B22">
        <w:rPr>
          <w:rFonts w:cs="Arial"/>
          <w:b/>
          <w:szCs w:val="20"/>
        </w:rPr>
        <w:t>4,3 mil.</w:t>
      </w:r>
      <w:r w:rsidRPr="00484B22">
        <w:rPr>
          <w:rFonts w:cs="Arial"/>
          <w:szCs w:val="20"/>
        </w:rPr>
        <w:t> </w:t>
      </w:r>
      <w:r w:rsidRPr="00484B22">
        <w:rPr>
          <w:rFonts w:cs="Arial"/>
          <w:b/>
          <w:szCs w:val="20"/>
        </w:rPr>
        <w:t>Kč</w:t>
      </w:r>
      <w:r w:rsidRPr="00484B22">
        <w:rPr>
          <w:rFonts w:cs="Arial"/>
          <w:szCs w:val="20"/>
        </w:rPr>
        <w:t>., viz</w:t>
      </w:r>
      <w:r>
        <w:rPr>
          <w:rFonts w:cs="Arial"/>
          <w:szCs w:val="20"/>
        </w:rPr>
        <w:t xml:space="preserve"> následující tabulka. Konečná výše se bude odvíjet od výsledků výběrových řízení.</w:t>
      </w:r>
    </w:p>
    <w:tbl>
      <w:tblPr>
        <w:tblW w:w="0" w:type="auto"/>
        <w:tblInd w:w="70" w:type="dxa"/>
        <w:tblBorders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1160"/>
        <w:gridCol w:w="7204"/>
        <w:gridCol w:w="1086"/>
        <w:gridCol w:w="898"/>
      </w:tblGrid>
      <w:tr w:rsidR="003F063C" w:rsidRPr="00CE6E48">
        <w:trPr>
          <w:trHeight w:val="193"/>
        </w:trPr>
        <w:tc>
          <w:tcPr>
            <w:tcW w:w="1160" w:type="dxa"/>
            <w:tcBorders>
              <w:top w:val="nil"/>
              <w:right w:val="single" w:sz="2" w:space="0" w:color="FFFFFF"/>
            </w:tcBorders>
            <w:shd w:val="clear" w:color="auto" w:fill="76923C"/>
          </w:tcPr>
          <w:p w:rsidR="003F063C" w:rsidRPr="0049546F" w:rsidRDefault="003F063C" w:rsidP="000B79AA">
            <w:pPr>
              <w:spacing w:before="40" w:after="40"/>
              <w:jc w:val="left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S</w:t>
            </w:r>
            <w:r>
              <w:rPr>
                <w:b/>
                <w:color w:val="FFFFFF"/>
                <w:sz w:val="16"/>
                <w:szCs w:val="16"/>
              </w:rPr>
              <w:t>kupina</w:t>
            </w:r>
          </w:p>
        </w:tc>
        <w:tc>
          <w:tcPr>
            <w:tcW w:w="7204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Pr="008B7647" w:rsidRDefault="003F063C" w:rsidP="000B79AA">
            <w:pPr>
              <w:spacing w:before="40" w:after="40"/>
              <w:jc w:val="left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Popis činností, výstupy</w:t>
            </w:r>
          </w:p>
        </w:tc>
        <w:tc>
          <w:tcPr>
            <w:tcW w:w="1086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Default="003F063C" w:rsidP="000B79AA">
            <w:pPr>
              <w:spacing w:before="40" w:after="4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Investice (mil. Kč)</w:t>
            </w:r>
          </w:p>
        </w:tc>
        <w:tc>
          <w:tcPr>
            <w:tcW w:w="898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Default="003F063C" w:rsidP="000B79AA">
            <w:pPr>
              <w:spacing w:before="40" w:after="4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Provoz (mil. Kč)</w:t>
            </w:r>
          </w:p>
        </w:tc>
      </w:tr>
      <w:tr w:rsidR="003F063C" w:rsidRPr="00CE6E48">
        <w:trPr>
          <w:trHeight w:val="453"/>
        </w:trPr>
        <w:tc>
          <w:tcPr>
            <w:tcW w:w="1160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Řízení a koordinace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Řízení a</w:t>
            </w:r>
            <w:r>
              <w:rPr>
                <w:sz w:val="16"/>
                <w:szCs w:val="16"/>
              </w:rPr>
              <w:t xml:space="preserve"> koordinace vzniku společnosti</w:t>
            </w:r>
          </w:p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Založení a řízení PMO (Project management office)</w:t>
            </w:r>
            <w:r>
              <w:rPr>
                <w:sz w:val="16"/>
                <w:szCs w:val="16"/>
              </w:rPr>
              <w:t xml:space="preserve"> za účelem řízení a koordinace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Organizace a facilitace pravidelných jednání řídících výborů projektů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3F063C" w:rsidRPr="007B1F28">
        <w:trPr>
          <w:trHeight w:val="701"/>
        </w:trPr>
        <w:tc>
          <w:tcPr>
            <w:tcW w:w="1160" w:type="dxa"/>
            <w:shd w:val="clear" w:color="auto" w:fill="FFFFCC"/>
            <w:vAlign w:val="center"/>
          </w:tcPr>
          <w:p w:rsidR="003F063C" w:rsidRPr="007B1F28" w:rsidRDefault="003F063C" w:rsidP="000B79AA">
            <w:pPr>
              <w:spacing w:before="0" w:after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Business plán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Pr="00BE008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Zpracování obchodní strategie a pl</w:t>
            </w:r>
            <w:r>
              <w:rPr>
                <w:sz w:val="16"/>
                <w:szCs w:val="16"/>
              </w:rPr>
              <w:t>ánu a úvodního business modelu</w:t>
            </w:r>
          </w:p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 xml:space="preserve">Vypracování finančního modelu projektu 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 xml:space="preserve"> Identifikace, ověření a rozklad zdrojů výnosů a nákladů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3F063C" w:rsidRPr="00CE6E48">
        <w:trPr>
          <w:trHeight w:val="271"/>
        </w:trPr>
        <w:tc>
          <w:tcPr>
            <w:tcW w:w="1160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Ocenění kmene a podílů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Pr="00BE008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Ocenění kmene uživatelů pro převod z MHMP na DPHMP</w:t>
            </w:r>
          </w:p>
          <w:p w:rsidR="003F063C" w:rsidRPr="00BE008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Indikativní odhad možného rozpětí pořizovací/prodejní ceny</w:t>
            </w:r>
          </w:p>
          <w:p w:rsidR="003F063C" w:rsidRPr="00BE008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Ocenění podílů vkladatelů společnosti opencard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Vypracování koncepce obchodních transakcí, tj. budoucích majetkových uspořádání a jejich finančního vypořádání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3F063C" w:rsidRPr="00CE6E48">
        <w:trPr>
          <w:trHeight w:val="271"/>
        </w:trPr>
        <w:tc>
          <w:tcPr>
            <w:tcW w:w="1160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Právní služby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Pr="00BE008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Právní služby (zpracování zakladatelských smluv, stanov, atd.) a poplatky (soud, advokáti, notáři)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BE008C">
              <w:rPr>
                <w:sz w:val="16"/>
                <w:szCs w:val="16"/>
              </w:rPr>
              <w:t>Poskytování poradenských služeb v rámci procesu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základě výběrového řízení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3F063C" w:rsidRPr="00CE6E48">
        <w:trPr>
          <w:trHeight w:val="271"/>
        </w:trPr>
        <w:tc>
          <w:tcPr>
            <w:tcW w:w="8364" w:type="dxa"/>
            <w:gridSpan w:val="2"/>
            <w:shd w:val="clear" w:color="auto" w:fill="76923C"/>
            <w:vAlign w:val="center"/>
          </w:tcPr>
          <w:p w:rsidR="003F063C" w:rsidRPr="00BE008C" w:rsidRDefault="003F063C" w:rsidP="000B79AA">
            <w:pPr>
              <w:spacing w:before="20" w:after="20"/>
              <w:jc w:val="left"/>
              <w:rPr>
                <w:color w:val="FFFFFF"/>
                <w:sz w:val="16"/>
                <w:szCs w:val="16"/>
              </w:rPr>
            </w:pPr>
            <w:r w:rsidRPr="00BE008C">
              <w:rPr>
                <w:b/>
                <w:color w:val="FFFFFF"/>
                <w:sz w:val="16"/>
                <w:szCs w:val="16"/>
              </w:rPr>
              <w:t>Celkem</w:t>
            </w:r>
          </w:p>
        </w:tc>
        <w:tc>
          <w:tcPr>
            <w:tcW w:w="1086" w:type="dxa"/>
            <w:shd w:val="clear" w:color="auto" w:fill="76923C"/>
            <w:vAlign w:val="bottom"/>
          </w:tcPr>
          <w:p w:rsidR="003F063C" w:rsidRPr="00BE008C" w:rsidRDefault="003F063C" w:rsidP="000B79AA">
            <w:pPr>
              <w:spacing w:before="20" w:after="20"/>
              <w:jc w:val="right"/>
              <w:rPr>
                <w:color w:val="FFFFFF"/>
                <w:sz w:val="16"/>
                <w:szCs w:val="16"/>
              </w:rPr>
            </w:pPr>
            <w:r w:rsidRPr="00BE008C">
              <w:rPr>
                <w:color w:val="FFFFFF"/>
                <w:sz w:val="16"/>
                <w:szCs w:val="16"/>
              </w:rPr>
              <w:t>4,3</w:t>
            </w:r>
          </w:p>
        </w:tc>
        <w:tc>
          <w:tcPr>
            <w:tcW w:w="898" w:type="dxa"/>
            <w:shd w:val="clear" w:color="auto" w:fill="76923C"/>
            <w:vAlign w:val="bottom"/>
          </w:tcPr>
          <w:p w:rsidR="003F063C" w:rsidRPr="00BE008C" w:rsidRDefault="003F063C" w:rsidP="000B79AA">
            <w:pPr>
              <w:spacing w:before="20" w:after="20"/>
              <w:jc w:val="right"/>
              <w:rPr>
                <w:color w:val="FFFFFF"/>
                <w:sz w:val="16"/>
                <w:szCs w:val="16"/>
              </w:rPr>
            </w:pPr>
            <w:r w:rsidRPr="00BE008C">
              <w:rPr>
                <w:color w:val="FFFFFF"/>
                <w:sz w:val="16"/>
                <w:szCs w:val="16"/>
              </w:rPr>
              <w:t>0,0</w:t>
            </w:r>
          </w:p>
        </w:tc>
      </w:tr>
    </w:tbl>
    <w:p w:rsidR="003F063C" w:rsidRPr="00C85C46" w:rsidRDefault="003F063C" w:rsidP="00CE5939">
      <w:pPr>
        <w:spacing w:before="120"/>
        <w:rPr>
          <w:b/>
          <w:color w:val="4F6228"/>
          <w:szCs w:val="20"/>
        </w:rPr>
      </w:pPr>
      <w:r>
        <w:rPr>
          <w:b/>
          <w:color w:val="4F6228"/>
          <w:szCs w:val="20"/>
        </w:rPr>
        <w:t>Rozpočet projektu migrace na opencard v roce 2010</w:t>
      </w:r>
    </w:p>
    <w:p w:rsidR="003F063C" w:rsidRDefault="003F063C" w:rsidP="000B79AA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Celkové náklady DPHMP na migraci časových kupónů PID na opencard pro skupiny cestujících Dítě, Junior, Dospělý a Senior v roce 2010 představují cca </w:t>
      </w:r>
      <w:r w:rsidRPr="00484B22">
        <w:rPr>
          <w:rFonts w:cs="Arial"/>
          <w:b/>
          <w:szCs w:val="20"/>
        </w:rPr>
        <w:t>35,5 mil. Kč</w:t>
      </w:r>
      <w:r>
        <w:rPr>
          <w:rFonts w:cs="Arial"/>
          <w:szCs w:val="20"/>
        </w:rPr>
        <w:t xml:space="preserve"> a jsou blíže specifikovány v Příloze 2.</w:t>
      </w:r>
    </w:p>
    <w:tbl>
      <w:tblPr>
        <w:tblW w:w="0" w:type="auto"/>
        <w:tblInd w:w="70" w:type="dxa"/>
        <w:tblBorders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1160"/>
        <w:gridCol w:w="7204"/>
        <w:gridCol w:w="1086"/>
        <w:gridCol w:w="898"/>
      </w:tblGrid>
      <w:tr w:rsidR="003F063C" w:rsidRPr="00CE6E48">
        <w:trPr>
          <w:trHeight w:val="193"/>
        </w:trPr>
        <w:tc>
          <w:tcPr>
            <w:tcW w:w="1160" w:type="dxa"/>
            <w:tcBorders>
              <w:top w:val="nil"/>
              <w:right w:val="single" w:sz="2" w:space="0" w:color="FFFFFF"/>
            </w:tcBorders>
            <w:shd w:val="clear" w:color="auto" w:fill="76923C"/>
          </w:tcPr>
          <w:p w:rsidR="003F063C" w:rsidRPr="0049546F" w:rsidRDefault="003F063C" w:rsidP="000B79AA">
            <w:pPr>
              <w:spacing w:before="40" w:after="40"/>
              <w:jc w:val="left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S</w:t>
            </w:r>
            <w:r>
              <w:rPr>
                <w:b/>
                <w:color w:val="FFFFFF"/>
                <w:sz w:val="16"/>
                <w:szCs w:val="16"/>
              </w:rPr>
              <w:t>kupina</w:t>
            </w:r>
          </w:p>
        </w:tc>
        <w:tc>
          <w:tcPr>
            <w:tcW w:w="7204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Pr="008B7647" w:rsidRDefault="003F063C" w:rsidP="000B79AA">
            <w:pPr>
              <w:spacing w:before="40" w:after="40"/>
              <w:jc w:val="left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Popis činností, výstupy</w:t>
            </w:r>
          </w:p>
        </w:tc>
        <w:tc>
          <w:tcPr>
            <w:tcW w:w="1086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Default="003F063C" w:rsidP="000B79AA">
            <w:pPr>
              <w:spacing w:before="40" w:after="4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Investice (mil. Kč)</w:t>
            </w:r>
          </w:p>
        </w:tc>
        <w:tc>
          <w:tcPr>
            <w:tcW w:w="898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Default="003F063C" w:rsidP="000B79AA">
            <w:pPr>
              <w:spacing w:before="40" w:after="4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Provoz (mil. Kč)</w:t>
            </w:r>
          </w:p>
        </w:tc>
      </w:tr>
      <w:tr w:rsidR="003F063C" w:rsidRPr="00CE6E48">
        <w:trPr>
          <w:trHeight w:val="453"/>
        </w:trPr>
        <w:tc>
          <w:tcPr>
            <w:tcW w:w="1160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Administrace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Administrace a organizace projektu, řídící výbor, zápisy, zprávy, reporting</w:t>
            </w:r>
          </w:p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Řízení harmonogramu, úkolů, termínů, změn a rozpočtu migrace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Právní služby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3F063C" w:rsidRPr="007B1F28">
        <w:trPr>
          <w:trHeight w:val="701"/>
        </w:trPr>
        <w:tc>
          <w:tcPr>
            <w:tcW w:w="1160" w:type="dxa"/>
            <w:shd w:val="clear" w:color="auto" w:fill="FFFFCC"/>
            <w:vAlign w:val="center"/>
          </w:tcPr>
          <w:p w:rsidR="003F063C" w:rsidRPr="007B1F28" w:rsidRDefault="003F063C" w:rsidP="000B79AA">
            <w:pPr>
              <w:spacing w:before="0" w:after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Perso</w:t>
            </w:r>
            <w:r>
              <w:rPr>
                <w:sz w:val="16"/>
                <w:szCs w:val="16"/>
              </w:rPr>
              <w:t>nální náklady oddělení opencard</w:t>
            </w:r>
          </w:p>
          <w:p w:rsidR="003F063C" w:rsidRPr="006230F4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 xml:space="preserve"> IT implementace rozšíření prodejní sítě el. kupónů a integrace do</w:t>
            </w:r>
            <w:r>
              <w:rPr>
                <w:sz w:val="16"/>
                <w:szCs w:val="16"/>
              </w:rPr>
              <w:t xml:space="preserve"> Back Office infrastruktury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Servisní smlouva s dodavatelem DOS - roční poplatek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3F063C" w:rsidRPr="00CE6E48">
        <w:trPr>
          <w:trHeight w:val="271"/>
        </w:trPr>
        <w:tc>
          <w:tcPr>
            <w:tcW w:w="1160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Front Office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 xml:space="preserve">Rozšíření </w:t>
            </w:r>
            <w:r>
              <w:rPr>
                <w:sz w:val="16"/>
                <w:szCs w:val="16"/>
              </w:rPr>
              <w:t>kontaktních míst</w:t>
            </w:r>
            <w:r w:rsidRPr="006230F4">
              <w:rPr>
                <w:sz w:val="16"/>
                <w:szCs w:val="16"/>
              </w:rPr>
              <w:t xml:space="preserve"> (prodejní term</w:t>
            </w:r>
            <w:r>
              <w:rPr>
                <w:sz w:val="16"/>
                <w:szCs w:val="16"/>
              </w:rPr>
              <w:t>i</w:t>
            </w:r>
            <w:r w:rsidRPr="006230F4">
              <w:rPr>
                <w:sz w:val="16"/>
                <w:szCs w:val="16"/>
              </w:rPr>
              <w:t xml:space="preserve">nály a periferní zařízení, vybavení </w:t>
            </w:r>
            <w:r>
              <w:rPr>
                <w:sz w:val="16"/>
                <w:szCs w:val="16"/>
              </w:rPr>
              <w:t>a zabezpečení)</w:t>
            </w:r>
          </w:p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Realizace ukonče</w:t>
            </w:r>
            <w:r>
              <w:rPr>
                <w:sz w:val="16"/>
                <w:szCs w:val="16"/>
              </w:rPr>
              <w:t xml:space="preserve">ní platnosti papírových kupónů </w:t>
            </w:r>
            <w:r w:rsidRPr="006230F4">
              <w:rPr>
                <w:sz w:val="16"/>
                <w:szCs w:val="16"/>
              </w:rPr>
              <w:t xml:space="preserve">a náběhu prodejní sítě el. </w:t>
            </w:r>
            <w:r>
              <w:rPr>
                <w:sz w:val="16"/>
                <w:szCs w:val="16"/>
              </w:rPr>
              <w:t xml:space="preserve"> jízdného, koordinace externích subjektů</w:t>
            </w:r>
          </w:p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Personální náklady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</w:tr>
      <w:tr w:rsidR="003F063C" w:rsidRPr="00CE6E48">
        <w:trPr>
          <w:trHeight w:val="271"/>
        </w:trPr>
        <w:tc>
          <w:tcPr>
            <w:tcW w:w="1160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Marketing a komunikace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Komunikace cestujícím (žádost a vydání karty, přechod na el. jízdné, termíny</w:t>
            </w:r>
            <w:r>
              <w:rPr>
                <w:sz w:val="16"/>
                <w:szCs w:val="16"/>
              </w:rPr>
              <w:t>,  tisk</w:t>
            </w:r>
            <w:r w:rsidRPr="006230F4">
              <w:rPr>
                <w:sz w:val="16"/>
                <w:szCs w:val="16"/>
              </w:rPr>
              <w:t xml:space="preserve"> žádostí)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</w:tr>
      <w:tr w:rsidR="003F063C" w:rsidRPr="00CE6E48">
        <w:trPr>
          <w:trHeight w:val="271"/>
        </w:trPr>
        <w:tc>
          <w:tcPr>
            <w:tcW w:w="1160" w:type="dxa"/>
            <w:shd w:val="clear" w:color="auto" w:fill="FFFFCC"/>
            <w:vAlign w:val="center"/>
          </w:tcPr>
          <w:p w:rsidR="003F063C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Validátory</w:t>
            </w:r>
          </w:p>
        </w:tc>
        <w:tc>
          <w:tcPr>
            <w:tcW w:w="7204" w:type="dxa"/>
            <w:shd w:val="clear" w:color="auto" w:fill="F2F2F2"/>
            <w:vAlign w:val="center"/>
          </w:tcPr>
          <w:p w:rsidR="003F063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Příprava instalace na straně DPHMP</w:t>
            </w:r>
            <w:r w:rsidRPr="006230F4">
              <w:rPr>
                <w:sz w:val="16"/>
                <w:szCs w:val="16"/>
              </w:rPr>
              <w:t xml:space="preserve"> (stavební povolení, dodavatelé, i</w:t>
            </w:r>
            <w:r>
              <w:rPr>
                <w:sz w:val="16"/>
                <w:szCs w:val="16"/>
              </w:rPr>
              <w:t>nstalace sítí, atd.)</w:t>
            </w:r>
          </w:p>
          <w:p w:rsidR="003F063C" w:rsidRPr="00BE008C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230F4">
              <w:rPr>
                <w:sz w:val="16"/>
                <w:szCs w:val="16"/>
              </w:rPr>
              <w:t>Řízení instalace validátorů, dokumentace, kolaudace a řešení provozních problémů při náběhu</w:t>
            </w:r>
          </w:p>
        </w:tc>
        <w:tc>
          <w:tcPr>
            <w:tcW w:w="1086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898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3F063C" w:rsidRPr="00CE6E48">
        <w:trPr>
          <w:trHeight w:val="271"/>
        </w:trPr>
        <w:tc>
          <w:tcPr>
            <w:tcW w:w="8364" w:type="dxa"/>
            <w:gridSpan w:val="2"/>
            <w:shd w:val="clear" w:color="auto" w:fill="76923C"/>
            <w:vAlign w:val="center"/>
          </w:tcPr>
          <w:p w:rsidR="003F063C" w:rsidRPr="00BE008C" w:rsidRDefault="003F063C" w:rsidP="000B79AA">
            <w:pPr>
              <w:spacing w:before="20" w:after="20"/>
              <w:jc w:val="left"/>
              <w:rPr>
                <w:color w:val="FFFFFF"/>
                <w:sz w:val="16"/>
                <w:szCs w:val="16"/>
              </w:rPr>
            </w:pPr>
            <w:r w:rsidRPr="00BE008C">
              <w:rPr>
                <w:b/>
                <w:color w:val="FFFFFF"/>
                <w:sz w:val="16"/>
                <w:szCs w:val="16"/>
              </w:rPr>
              <w:t>Celkem</w:t>
            </w:r>
          </w:p>
        </w:tc>
        <w:tc>
          <w:tcPr>
            <w:tcW w:w="1086" w:type="dxa"/>
            <w:shd w:val="clear" w:color="auto" w:fill="76923C"/>
            <w:vAlign w:val="bottom"/>
          </w:tcPr>
          <w:p w:rsidR="003F063C" w:rsidRPr="00BE008C" w:rsidRDefault="003F063C" w:rsidP="000B79AA">
            <w:pPr>
              <w:spacing w:before="20" w:after="20"/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25,0</w:t>
            </w:r>
          </w:p>
        </w:tc>
        <w:tc>
          <w:tcPr>
            <w:tcW w:w="898" w:type="dxa"/>
            <w:shd w:val="clear" w:color="auto" w:fill="76923C"/>
            <w:vAlign w:val="bottom"/>
          </w:tcPr>
          <w:p w:rsidR="003F063C" w:rsidRPr="00BE008C" w:rsidRDefault="003F063C" w:rsidP="000B79AA">
            <w:pPr>
              <w:spacing w:before="20" w:after="20"/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10,5</w:t>
            </w:r>
          </w:p>
        </w:tc>
      </w:tr>
    </w:tbl>
    <w:p w:rsidR="003F063C" w:rsidRDefault="003F063C" w:rsidP="00CE5939">
      <w:pPr>
        <w:spacing w:before="120"/>
        <w:rPr>
          <w:b/>
          <w:color w:val="4F6228"/>
          <w:szCs w:val="20"/>
        </w:rPr>
      </w:pPr>
      <w:r>
        <w:rPr>
          <w:b/>
          <w:color w:val="4F6228"/>
          <w:szCs w:val="20"/>
        </w:rPr>
        <w:t>Rozpočet zavedení nových služeb opencard</w:t>
      </w:r>
    </w:p>
    <w:p w:rsidR="003F063C" w:rsidRDefault="003F063C" w:rsidP="00CE5939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Celkové náklady na zavedení nových služeb na opencard představují cca </w:t>
      </w:r>
      <w:r w:rsidRPr="00484B22">
        <w:rPr>
          <w:rFonts w:cs="Arial"/>
          <w:b/>
          <w:szCs w:val="20"/>
        </w:rPr>
        <w:t>5 mil. Kč.</w:t>
      </w:r>
      <w:r>
        <w:rPr>
          <w:rFonts w:cs="Arial"/>
          <w:szCs w:val="20"/>
        </w:rPr>
        <w:t xml:space="preserve"> Konečná výše se bude odvíjet od výsledků výběrových řízení.</w:t>
      </w:r>
    </w:p>
    <w:tbl>
      <w:tblPr>
        <w:tblW w:w="10356" w:type="dxa"/>
        <w:tblInd w:w="70" w:type="dxa"/>
        <w:tblBorders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2042"/>
        <w:gridCol w:w="6322"/>
        <w:gridCol w:w="1019"/>
        <w:gridCol w:w="973"/>
      </w:tblGrid>
      <w:tr w:rsidR="003F063C" w:rsidRPr="00CE6E48">
        <w:trPr>
          <w:trHeight w:val="193"/>
        </w:trPr>
        <w:tc>
          <w:tcPr>
            <w:tcW w:w="2042" w:type="dxa"/>
            <w:tcBorders>
              <w:top w:val="nil"/>
              <w:right w:val="single" w:sz="2" w:space="0" w:color="FFFFFF"/>
            </w:tcBorders>
            <w:shd w:val="clear" w:color="auto" w:fill="76923C"/>
          </w:tcPr>
          <w:p w:rsidR="003F063C" w:rsidRPr="0049546F" w:rsidRDefault="003F063C" w:rsidP="000B79AA">
            <w:pPr>
              <w:spacing w:before="40" w:after="40"/>
              <w:jc w:val="left"/>
              <w:rPr>
                <w:b/>
                <w:color w:val="FFFFFF"/>
                <w:sz w:val="16"/>
                <w:szCs w:val="16"/>
              </w:rPr>
            </w:pPr>
            <w:r w:rsidRPr="0049546F">
              <w:rPr>
                <w:b/>
                <w:color w:val="FFFFFF"/>
                <w:sz w:val="16"/>
                <w:szCs w:val="16"/>
              </w:rPr>
              <w:t>S</w:t>
            </w:r>
            <w:r>
              <w:rPr>
                <w:b/>
                <w:color w:val="FFFFFF"/>
                <w:sz w:val="16"/>
                <w:szCs w:val="16"/>
              </w:rPr>
              <w:t>kupina</w:t>
            </w:r>
          </w:p>
        </w:tc>
        <w:tc>
          <w:tcPr>
            <w:tcW w:w="6322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Pr="008B7647" w:rsidRDefault="003F063C" w:rsidP="000B79AA">
            <w:pPr>
              <w:spacing w:before="40" w:after="40"/>
              <w:jc w:val="left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Popis činností, výstupy</w:t>
            </w:r>
          </w:p>
        </w:tc>
        <w:tc>
          <w:tcPr>
            <w:tcW w:w="1019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Default="003F063C" w:rsidP="000B79AA">
            <w:pPr>
              <w:spacing w:before="40" w:after="4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Investice (mil. Kč)</w:t>
            </w:r>
          </w:p>
        </w:tc>
        <w:tc>
          <w:tcPr>
            <w:tcW w:w="973" w:type="dxa"/>
            <w:tcBorders>
              <w:top w:val="nil"/>
              <w:left w:val="single" w:sz="2" w:space="0" w:color="FFFFFF"/>
            </w:tcBorders>
            <w:shd w:val="clear" w:color="auto" w:fill="76923C"/>
          </w:tcPr>
          <w:p w:rsidR="003F063C" w:rsidRDefault="003F063C" w:rsidP="000B79AA">
            <w:pPr>
              <w:spacing w:before="40" w:after="4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Provoz (mil. Kč)</w:t>
            </w:r>
          </w:p>
        </w:tc>
      </w:tr>
      <w:tr w:rsidR="003F063C" w:rsidRPr="00CE6E48" w:rsidTr="00CE5939">
        <w:trPr>
          <w:trHeight w:val="453"/>
        </w:trPr>
        <w:tc>
          <w:tcPr>
            <w:tcW w:w="2042" w:type="dxa"/>
            <w:shd w:val="clear" w:color="auto" w:fill="FFFFCC"/>
            <w:vAlign w:val="center"/>
          </w:tcPr>
          <w:p w:rsidR="003F063C" w:rsidRPr="0049546F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Městský slevový program</w:t>
            </w:r>
          </w:p>
        </w:tc>
        <w:tc>
          <w:tcPr>
            <w:tcW w:w="6322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B7DB2">
              <w:rPr>
                <w:sz w:val="16"/>
                <w:szCs w:val="16"/>
              </w:rPr>
              <w:t>Pořízení validačních zařízení pro jednotlivé městské</w:t>
            </w:r>
            <w:r>
              <w:rPr>
                <w:sz w:val="16"/>
                <w:szCs w:val="16"/>
              </w:rPr>
              <w:t xml:space="preserve"> </w:t>
            </w:r>
            <w:r w:rsidRPr="006B7DB2">
              <w:rPr>
                <w:sz w:val="16"/>
                <w:szCs w:val="16"/>
              </w:rPr>
              <w:t>integrace do pokladních systémů městských organizace</w:t>
            </w:r>
            <w:r w:rsidRPr="00122546">
              <w:rPr>
                <w:sz w:val="16"/>
                <w:szCs w:val="16"/>
              </w:rPr>
              <w:t xml:space="preserve">; </w:t>
            </w:r>
            <w:r w:rsidRPr="006B7DB2">
              <w:rPr>
                <w:sz w:val="16"/>
                <w:szCs w:val="16"/>
              </w:rPr>
              <w:t>Propojení do centrálního systému evidence slev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19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73" w:type="dxa"/>
            <w:shd w:val="clear" w:color="auto" w:fill="F2F2F2"/>
            <w:vAlign w:val="bottom"/>
          </w:tcPr>
          <w:p w:rsidR="003F063C" w:rsidRDefault="003F063C" w:rsidP="00CE5939">
            <w:pPr>
              <w:spacing w:before="20" w:after="20"/>
              <w:jc w:val="right"/>
            </w:pPr>
            <w:r w:rsidRPr="00275024">
              <w:rPr>
                <w:sz w:val="16"/>
                <w:szCs w:val="16"/>
              </w:rPr>
              <w:t>0,0</w:t>
            </w:r>
          </w:p>
        </w:tc>
      </w:tr>
      <w:tr w:rsidR="003F063C" w:rsidRPr="007B1F28" w:rsidTr="00CE5939">
        <w:trPr>
          <w:trHeight w:val="525"/>
        </w:trPr>
        <w:tc>
          <w:tcPr>
            <w:tcW w:w="2042" w:type="dxa"/>
            <w:shd w:val="clear" w:color="auto" w:fill="FFFFCC"/>
            <w:vAlign w:val="center"/>
          </w:tcPr>
          <w:p w:rsidR="003F063C" w:rsidRPr="006B7DB2" w:rsidRDefault="003F063C" w:rsidP="000B79AA">
            <w:pPr>
              <w:spacing w:before="0" w:after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Komerční slevový program</w:t>
            </w:r>
          </w:p>
        </w:tc>
        <w:tc>
          <w:tcPr>
            <w:tcW w:w="6322" w:type="dxa"/>
            <w:shd w:val="clear" w:color="auto" w:fill="F2F2F2"/>
            <w:vAlign w:val="center"/>
          </w:tcPr>
          <w:p w:rsidR="003F063C" w:rsidRPr="00CE6E48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E67BE2">
              <w:rPr>
                <w:sz w:val="16"/>
                <w:szCs w:val="16"/>
              </w:rPr>
              <w:t>Hrazeno partnery zapojenými</w:t>
            </w:r>
            <w:r>
              <w:rPr>
                <w:sz w:val="16"/>
                <w:szCs w:val="16"/>
              </w:rPr>
              <w:t xml:space="preserve"> do komer</w:t>
            </w:r>
            <w:r w:rsidRPr="00E67BE2">
              <w:rPr>
                <w:sz w:val="16"/>
                <w:szCs w:val="16"/>
              </w:rPr>
              <w:t>čního slevového programu</w:t>
            </w:r>
          </w:p>
        </w:tc>
        <w:tc>
          <w:tcPr>
            <w:tcW w:w="1019" w:type="dxa"/>
            <w:shd w:val="clear" w:color="auto" w:fill="F2F2F2"/>
            <w:vAlign w:val="bottom"/>
          </w:tcPr>
          <w:p w:rsidR="003F063C" w:rsidRPr="00CE6E48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3" w:type="dxa"/>
            <w:shd w:val="clear" w:color="auto" w:fill="F2F2F2"/>
            <w:vAlign w:val="bottom"/>
          </w:tcPr>
          <w:p w:rsidR="003F063C" w:rsidRDefault="003F063C" w:rsidP="00CE5939">
            <w:pPr>
              <w:spacing w:before="20" w:after="20"/>
              <w:jc w:val="right"/>
            </w:pPr>
            <w:r w:rsidRPr="00275024">
              <w:rPr>
                <w:sz w:val="16"/>
                <w:szCs w:val="16"/>
              </w:rPr>
              <w:t>0,0</w:t>
            </w:r>
          </w:p>
        </w:tc>
      </w:tr>
      <w:tr w:rsidR="003F063C" w:rsidRPr="00CE6E48" w:rsidTr="00CE5939">
        <w:trPr>
          <w:trHeight w:val="271"/>
        </w:trPr>
        <w:tc>
          <w:tcPr>
            <w:tcW w:w="2042" w:type="dxa"/>
            <w:shd w:val="clear" w:color="auto" w:fill="FFFFCC"/>
            <w:vAlign w:val="center"/>
          </w:tcPr>
          <w:p w:rsidR="003F063C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Internet žádost o OC</w:t>
            </w:r>
          </w:p>
        </w:tc>
        <w:tc>
          <w:tcPr>
            <w:tcW w:w="6322" w:type="dxa"/>
            <w:shd w:val="clear" w:color="auto" w:fill="F2F2F2"/>
            <w:vAlign w:val="center"/>
          </w:tcPr>
          <w:p w:rsidR="003F063C" w:rsidRPr="006B7DB2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E67BE2">
              <w:rPr>
                <w:sz w:val="16"/>
                <w:szCs w:val="16"/>
              </w:rPr>
              <w:t>Realizováno v rámci upgrade SKC jako součást centrálních systémů</w:t>
            </w:r>
          </w:p>
        </w:tc>
        <w:tc>
          <w:tcPr>
            <w:tcW w:w="1019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3" w:type="dxa"/>
            <w:shd w:val="clear" w:color="auto" w:fill="F2F2F2"/>
            <w:vAlign w:val="bottom"/>
          </w:tcPr>
          <w:p w:rsidR="003F063C" w:rsidRDefault="003F063C" w:rsidP="00CE5939">
            <w:pPr>
              <w:spacing w:before="20" w:after="20"/>
              <w:jc w:val="right"/>
            </w:pPr>
            <w:r w:rsidRPr="00275024">
              <w:rPr>
                <w:sz w:val="16"/>
                <w:szCs w:val="16"/>
              </w:rPr>
              <w:t>0,0</w:t>
            </w:r>
          </w:p>
        </w:tc>
      </w:tr>
      <w:tr w:rsidR="003F063C" w:rsidRPr="00CE6E48" w:rsidTr="00CE5939">
        <w:trPr>
          <w:trHeight w:val="271"/>
        </w:trPr>
        <w:tc>
          <w:tcPr>
            <w:tcW w:w="2042" w:type="dxa"/>
            <w:shd w:val="clear" w:color="auto" w:fill="FFFFCC"/>
            <w:vAlign w:val="center"/>
          </w:tcPr>
          <w:p w:rsidR="003F063C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 w:rsidRPr="006B7DB2">
              <w:rPr>
                <w:rFonts w:cs="Arial"/>
                <w:b/>
                <w:sz w:val="16"/>
                <w:szCs w:val="16"/>
              </w:rPr>
              <w:t>Studentská karta</w:t>
            </w:r>
          </w:p>
        </w:tc>
        <w:tc>
          <w:tcPr>
            <w:tcW w:w="6322" w:type="dxa"/>
            <w:shd w:val="clear" w:color="auto" w:fill="F2F2F2"/>
            <w:vAlign w:val="center"/>
          </w:tcPr>
          <w:p w:rsidR="003F063C" w:rsidRPr="00E67BE2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B7DB2">
              <w:rPr>
                <w:sz w:val="16"/>
                <w:szCs w:val="16"/>
              </w:rPr>
              <w:t>Integrace se systémy vybrané školy</w:t>
            </w:r>
            <w:r>
              <w:rPr>
                <w:sz w:val="16"/>
                <w:szCs w:val="16"/>
              </w:rPr>
              <w:t xml:space="preserve">; </w:t>
            </w:r>
            <w:r w:rsidRPr="006B7DB2">
              <w:rPr>
                <w:sz w:val="16"/>
                <w:szCs w:val="16"/>
              </w:rPr>
              <w:t>Nákupy HW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19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73" w:type="dxa"/>
            <w:shd w:val="clear" w:color="auto" w:fill="F2F2F2"/>
            <w:vAlign w:val="bottom"/>
          </w:tcPr>
          <w:p w:rsidR="003F063C" w:rsidRDefault="003F063C" w:rsidP="00CE5939">
            <w:pPr>
              <w:spacing w:before="20" w:after="20"/>
              <w:jc w:val="right"/>
            </w:pPr>
            <w:r w:rsidRPr="00275024">
              <w:rPr>
                <w:sz w:val="16"/>
                <w:szCs w:val="16"/>
              </w:rPr>
              <w:t>0,0</w:t>
            </w:r>
          </w:p>
        </w:tc>
      </w:tr>
      <w:tr w:rsidR="003F063C" w:rsidRPr="00CE6E48" w:rsidTr="00CE5939">
        <w:trPr>
          <w:trHeight w:val="271"/>
        </w:trPr>
        <w:tc>
          <w:tcPr>
            <w:tcW w:w="2042" w:type="dxa"/>
            <w:shd w:val="clear" w:color="auto" w:fill="FFFFCC"/>
            <w:vAlign w:val="center"/>
          </w:tcPr>
          <w:p w:rsidR="003F063C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Turistická karta</w:t>
            </w:r>
          </w:p>
        </w:tc>
        <w:tc>
          <w:tcPr>
            <w:tcW w:w="6322" w:type="dxa"/>
            <w:shd w:val="clear" w:color="auto" w:fill="F2F2F2"/>
            <w:vAlign w:val="center"/>
          </w:tcPr>
          <w:p w:rsidR="003F063C" w:rsidRPr="006B7DB2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E67BE2">
              <w:rPr>
                <w:sz w:val="16"/>
                <w:szCs w:val="16"/>
              </w:rPr>
              <w:t>Bude hrazeno z výnosů realizovaných v rámci této komerční aktivity</w:t>
            </w:r>
          </w:p>
        </w:tc>
        <w:tc>
          <w:tcPr>
            <w:tcW w:w="1019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3" w:type="dxa"/>
            <w:shd w:val="clear" w:color="auto" w:fill="F2F2F2"/>
            <w:vAlign w:val="bottom"/>
          </w:tcPr>
          <w:p w:rsidR="003F063C" w:rsidRDefault="003F063C" w:rsidP="00CE5939">
            <w:pPr>
              <w:spacing w:before="20" w:after="20"/>
              <w:jc w:val="right"/>
            </w:pPr>
            <w:r w:rsidRPr="00275024">
              <w:rPr>
                <w:sz w:val="16"/>
                <w:szCs w:val="16"/>
              </w:rPr>
              <w:t>0,0</w:t>
            </w:r>
          </w:p>
        </w:tc>
      </w:tr>
      <w:tr w:rsidR="003F063C" w:rsidRPr="00CE6E48" w:rsidTr="00CE5939">
        <w:trPr>
          <w:trHeight w:val="271"/>
        </w:trPr>
        <w:tc>
          <w:tcPr>
            <w:tcW w:w="2042" w:type="dxa"/>
            <w:shd w:val="clear" w:color="auto" w:fill="FFFFCC"/>
            <w:vAlign w:val="center"/>
          </w:tcPr>
          <w:p w:rsidR="003F063C" w:rsidRDefault="003F063C" w:rsidP="000B79AA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Další náklady</w:t>
            </w:r>
          </w:p>
        </w:tc>
        <w:tc>
          <w:tcPr>
            <w:tcW w:w="6322" w:type="dxa"/>
            <w:shd w:val="clear" w:color="auto" w:fill="F2F2F2"/>
            <w:vAlign w:val="center"/>
          </w:tcPr>
          <w:p w:rsidR="003F063C" w:rsidRPr="006B7DB2" w:rsidRDefault="003F063C" w:rsidP="000B79AA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6B7DB2">
              <w:rPr>
                <w:sz w:val="16"/>
                <w:szCs w:val="16"/>
              </w:rPr>
              <w:t>Právní služby</w:t>
            </w:r>
            <w:r>
              <w:rPr>
                <w:sz w:val="16"/>
                <w:szCs w:val="16"/>
              </w:rPr>
              <w:t xml:space="preserve">; </w:t>
            </w:r>
            <w:r w:rsidRPr="006B7DB2">
              <w:rPr>
                <w:sz w:val="16"/>
                <w:szCs w:val="16"/>
              </w:rPr>
              <w:t>Výroba tiskopisů a materiálů pro držitele karet</w:t>
            </w:r>
          </w:p>
        </w:tc>
        <w:tc>
          <w:tcPr>
            <w:tcW w:w="1019" w:type="dxa"/>
            <w:shd w:val="clear" w:color="auto" w:fill="F2F2F2"/>
            <w:vAlign w:val="bottom"/>
          </w:tcPr>
          <w:p w:rsidR="003F063C" w:rsidRDefault="003F063C" w:rsidP="000B79AA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73" w:type="dxa"/>
            <w:shd w:val="clear" w:color="auto" w:fill="F2F2F2"/>
            <w:vAlign w:val="bottom"/>
          </w:tcPr>
          <w:p w:rsidR="003F063C" w:rsidRDefault="003F063C" w:rsidP="00CE5939">
            <w:pPr>
              <w:spacing w:before="20" w:after="20"/>
              <w:jc w:val="right"/>
            </w:pPr>
            <w:r w:rsidRPr="00275024">
              <w:rPr>
                <w:sz w:val="16"/>
                <w:szCs w:val="16"/>
              </w:rPr>
              <w:t>0,0</w:t>
            </w:r>
          </w:p>
        </w:tc>
      </w:tr>
      <w:tr w:rsidR="003F063C" w:rsidRPr="00CE6E48" w:rsidTr="00CE5939">
        <w:trPr>
          <w:trHeight w:val="271"/>
        </w:trPr>
        <w:tc>
          <w:tcPr>
            <w:tcW w:w="8364" w:type="dxa"/>
            <w:gridSpan w:val="2"/>
            <w:shd w:val="clear" w:color="auto" w:fill="76923C"/>
            <w:vAlign w:val="center"/>
          </w:tcPr>
          <w:p w:rsidR="003F063C" w:rsidRPr="00BE008C" w:rsidRDefault="003F063C" w:rsidP="000B79AA">
            <w:pPr>
              <w:spacing w:before="20" w:after="20"/>
              <w:jc w:val="left"/>
              <w:rPr>
                <w:color w:val="FFFFFF"/>
                <w:sz w:val="16"/>
                <w:szCs w:val="16"/>
              </w:rPr>
            </w:pPr>
            <w:r w:rsidRPr="00BE008C">
              <w:rPr>
                <w:b/>
                <w:color w:val="FFFFFF"/>
                <w:sz w:val="16"/>
                <w:szCs w:val="16"/>
              </w:rPr>
              <w:t>Celkem</w:t>
            </w:r>
          </w:p>
        </w:tc>
        <w:tc>
          <w:tcPr>
            <w:tcW w:w="1019" w:type="dxa"/>
            <w:shd w:val="clear" w:color="auto" w:fill="76923C"/>
            <w:vAlign w:val="bottom"/>
          </w:tcPr>
          <w:p w:rsidR="003F063C" w:rsidRPr="00BE008C" w:rsidRDefault="003F063C" w:rsidP="000B79AA">
            <w:pPr>
              <w:spacing w:before="20" w:after="20"/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5,0</w:t>
            </w:r>
          </w:p>
        </w:tc>
        <w:tc>
          <w:tcPr>
            <w:tcW w:w="973" w:type="dxa"/>
            <w:shd w:val="clear" w:color="auto" w:fill="76923C"/>
            <w:vAlign w:val="bottom"/>
          </w:tcPr>
          <w:p w:rsidR="003F063C" w:rsidRPr="00BE008C" w:rsidRDefault="003F063C" w:rsidP="00CE5939">
            <w:pPr>
              <w:spacing w:before="20" w:after="20"/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0,0</w:t>
            </w:r>
          </w:p>
        </w:tc>
      </w:tr>
    </w:tbl>
    <w:p w:rsidR="003F063C" w:rsidRPr="00CE5939" w:rsidRDefault="003F063C" w:rsidP="00CE5939">
      <w:pPr>
        <w:spacing w:before="0"/>
        <w:rPr>
          <w:rFonts w:cs="Arial"/>
          <w:b/>
          <w:color w:val="4F6228"/>
          <w:szCs w:val="20"/>
        </w:rPr>
      </w:pPr>
      <w:r w:rsidRPr="006B7DB2">
        <w:rPr>
          <w:rFonts w:cs="Arial"/>
          <w:i/>
        </w:rPr>
        <w:t xml:space="preserve">Uvedené náklady jsou založené na současné znalosti předpokládaného rozsahu a </w:t>
      </w:r>
      <w:r>
        <w:rPr>
          <w:rFonts w:cs="Arial"/>
          <w:i/>
        </w:rPr>
        <w:t>nákladů jednotlivých projektů a </w:t>
      </w:r>
      <w:r w:rsidRPr="006B7DB2">
        <w:rPr>
          <w:rFonts w:cs="Arial"/>
          <w:i/>
        </w:rPr>
        <w:t>budou postupně upřesněny v rámci přípravy a realizace jednotlivých projektů</w:t>
      </w:r>
      <w:r>
        <w:rPr>
          <w:rFonts w:cs="Arial"/>
          <w:i/>
        </w:rPr>
        <w:t xml:space="preserve">. </w:t>
      </w:r>
    </w:p>
    <w:p w:rsidR="003F063C" w:rsidRDefault="003F063C" w:rsidP="000B79AA">
      <w:pPr>
        <w:pStyle w:val="Heading1"/>
      </w:pPr>
      <w:r>
        <w:t>Příloha 1: Postup založení obchodní společnosti a vstupu strategického partnera</w:t>
      </w:r>
    </w:p>
    <w:p w:rsidR="003F063C" w:rsidRDefault="003F063C" w:rsidP="000B79AA">
      <w:pPr>
        <w:rPr>
          <w:szCs w:val="20"/>
        </w:rPr>
      </w:pPr>
      <w:r>
        <w:rPr>
          <w:szCs w:val="20"/>
        </w:rPr>
        <w:t>Jak vyplývá z oddílu 3.2 této důvodové zprávy, postup při realizaci navrženého řešení lze rozdělit na 3 základní kroky, které budou následovat v tomto pořadí:</w:t>
      </w:r>
    </w:p>
    <w:p w:rsidR="003F063C" w:rsidRPr="009F7F5D" w:rsidRDefault="003F063C" w:rsidP="00184A4C">
      <w:pPr>
        <w:pStyle w:val="ColorfulList-Accent11"/>
        <w:numPr>
          <w:ilvl w:val="0"/>
          <w:numId w:val="15"/>
        </w:numPr>
        <w:spacing w:before="0" w:after="0"/>
        <w:rPr>
          <w:szCs w:val="20"/>
        </w:rPr>
      </w:pPr>
      <w:r>
        <w:rPr>
          <w:szCs w:val="20"/>
        </w:rPr>
        <w:t>Převod práv a povinností odpovídajících kmeni uživatelů opencard, včetně majetku souvisejícího s projektem opencard  z </w:t>
      </w:r>
      <w:r>
        <w:rPr>
          <w:rFonts w:cs="Arial"/>
          <w:bCs/>
          <w:iCs/>
          <w:szCs w:val="20"/>
        </w:rPr>
        <w:t>MHMP na DPHMP,</w:t>
      </w:r>
    </w:p>
    <w:p w:rsidR="003F063C" w:rsidRDefault="003F063C" w:rsidP="00184A4C">
      <w:pPr>
        <w:pStyle w:val="ColorfulList-Accent11"/>
        <w:numPr>
          <w:ilvl w:val="0"/>
          <w:numId w:val="15"/>
        </w:numPr>
        <w:spacing w:before="0" w:after="0"/>
        <w:rPr>
          <w:szCs w:val="20"/>
        </w:rPr>
      </w:pPr>
      <w:r>
        <w:rPr>
          <w:szCs w:val="20"/>
        </w:rPr>
        <w:t>Založení společnosti opencard do budoucna s majoritním podílem DPHMP s využitím vkladů v podobě všech hmotných i nehmotných aktiv souvisejících s provozem projektu opencard,</w:t>
      </w:r>
    </w:p>
    <w:p w:rsidR="003F063C" w:rsidRPr="009F7F5D" w:rsidRDefault="003F063C" w:rsidP="00184A4C">
      <w:pPr>
        <w:pStyle w:val="ColorfulList-Accent11"/>
        <w:numPr>
          <w:ilvl w:val="0"/>
          <w:numId w:val="15"/>
        </w:numPr>
        <w:spacing w:before="0" w:after="0"/>
        <w:rPr>
          <w:szCs w:val="20"/>
        </w:rPr>
      </w:pPr>
      <w:r>
        <w:rPr>
          <w:szCs w:val="20"/>
        </w:rPr>
        <w:t>Vstup strategického partnera do společnosti opencard.</w:t>
      </w:r>
    </w:p>
    <w:p w:rsidR="003F063C" w:rsidRDefault="003F063C" w:rsidP="000B79AA">
      <w:pPr>
        <w:spacing w:before="120"/>
        <w:rPr>
          <w:rFonts w:cs="Arial"/>
          <w:bCs/>
          <w:iCs/>
          <w:szCs w:val="20"/>
        </w:rPr>
      </w:pPr>
      <w:r>
        <w:rPr>
          <w:szCs w:val="20"/>
        </w:rPr>
        <w:t>Ad 1.</w:t>
      </w:r>
      <w:r>
        <w:rPr>
          <w:szCs w:val="20"/>
        </w:rPr>
        <w:tab/>
      </w:r>
      <w:r w:rsidRPr="009E5602">
        <w:rPr>
          <w:szCs w:val="20"/>
          <w:u w:val="single"/>
        </w:rPr>
        <w:t xml:space="preserve">Převod </w:t>
      </w:r>
      <w:r>
        <w:rPr>
          <w:szCs w:val="20"/>
          <w:u w:val="single"/>
        </w:rPr>
        <w:t xml:space="preserve">kmene uživatelů a souvisejícího majetku </w:t>
      </w:r>
      <w:r w:rsidRPr="009E5602">
        <w:rPr>
          <w:szCs w:val="20"/>
          <w:u w:val="single"/>
        </w:rPr>
        <w:t>z </w:t>
      </w:r>
      <w:r w:rsidRPr="009E5602">
        <w:rPr>
          <w:rFonts w:cs="Arial"/>
          <w:bCs/>
          <w:iCs/>
          <w:szCs w:val="20"/>
          <w:u w:val="single"/>
        </w:rPr>
        <w:t>MHMP na DPHMP</w:t>
      </w:r>
      <w:r>
        <w:rPr>
          <w:rFonts w:cs="Arial"/>
          <w:bCs/>
          <w:iCs/>
          <w:szCs w:val="20"/>
        </w:rPr>
        <w:t>:</w:t>
      </w:r>
    </w:p>
    <w:p w:rsidR="003F063C" w:rsidRDefault="003F063C" w:rsidP="000B79AA">
      <w:pPr>
        <w:rPr>
          <w:szCs w:val="20"/>
        </w:rPr>
      </w:pPr>
      <w:r>
        <w:rPr>
          <w:szCs w:val="20"/>
        </w:rPr>
        <w:t>K převodu majetku a zejména práv a povinností odpovídajících kmeni uživatelů z MHMP na DPHMP dojde na základě uzavření jednotlivých smluv, které upraví podmínky převodu kmene uživatelů, značky opencard apod. V souvislosti s touto problematikou bude nutno řešit zejména následující:</w:t>
      </w:r>
    </w:p>
    <w:p w:rsidR="003F063C" w:rsidRDefault="003F063C" w:rsidP="00184A4C">
      <w:pPr>
        <w:pStyle w:val="ColorfulList-Accent11"/>
        <w:numPr>
          <w:ilvl w:val="0"/>
          <w:numId w:val="16"/>
        </w:numPr>
        <w:spacing w:before="0" w:after="0"/>
        <w:ind w:left="714" w:hanging="357"/>
        <w:rPr>
          <w:szCs w:val="20"/>
        </w:rPr>
      </w:pPr>
      <w:r>
        <w:rPr>
          <w:szCs w:val="20"/>
        </w:rPr>
        <w:t xml:space="preserve">nastavení </w:t>
      </w:r>
      <w:r w:rsidRPr="0075408E">
        <w:rPr>
          <w:szCs w:val="20"/>
        </w:rPr>
        <w:t xml:space="preserve">spolupráce </w:t>
      </w:r>
      <w:r w:rsidRPr="0075408E">
        <w:rPr>
          <w:rFonts w:cs="Arial"/>
          <w:bCs/>
          <w:iCs/>
          <w:szCs w:val="20"/>
        </w:rPr>
        <w:t>MHMP a DPHMP</w:t>
      </w:r>
      <w:r>
        <w:rPr>
          <w:rFonts w:cs="Arial"/>
          <w:bCs/>
          <w:iCs/>
          <w:szCs w:val="20"/>
        </w:rPr>
        <w:t xml:space="preserve"> v rámci přípravy návrhů smluvní dokumentace,</w:t>
      </w:r>
      <w:r w:rsidRPr="0075408E">
        <w:rPr>
          <w:szCs w:val="20"/>
        </w:rPr>
        <w:t xml:space="preserve"> </w:t>
      </w:r>
    </w:p>
    <w:p w:rsidR="003F063C" w:rsidRDefault="003F063C" w:rsidP="00184A4C">
      <w:pPr>
        <w:pStyle w:val="ColorfulList-Accent11"/>
        <w:numPr>
          <w:ilvl w:val="0"/>
          <w:numId w:val="16"/>
        </w:numPr>
        <w:spacing w:before="0" w:after="0"/>
        <w:ind w:left="714" w:hanging="357"/>
        <w:rPr>
          <w:szCs w:val="20"/>
        </w:rPr>
      </w:pPr>
      <w:r w:rsidRPr="0075408E">
        <w:rPr>
          <w:szCs w:val="20"/>
        </w:rPr>
        <w:t xml:space="preserve">souhlas příslušných orgánů HMP </w:t>
      </w:r>
      <w:r>
        <w:rPr>
          <w:szCs w:val="20"/>
        </w:rPr>
        <w:t xml:space="preserve">a </w:t>
      </w:r>
      <w:r w:rsidRPr="0075408E">
        <w:rPr>
          <w:rFonts w:cs="Arial"/>
          <w:bCs/>
          <w:iCs/>
          <w:szCs w:val="20"/>
        </w:rPr>
        <w:t>DPHMP</w:t>
      </w:r>
      <w:r w:rsidRPr="0075408E">
        <w:rPr>
          <w:szCs w:val="20"/>
        </w:rPr>
        <w:t xml:space="preserve"> s</w:t>
      </w:r>
      <w:r>
        <w:rPr>
          <w:szCs w:val="20"/>
        </w:rPr>
        <w:t>e záměrem převodu a s návrhy smluvní dokumentace</w:t>
      </w:r>
      <w:r w:rsidRPr="0075408E">
        <w:rPr>
          <w:szCs w:val="20"/>
        </w:rPr>
        <w:t xml:space="preserve">, </w:t>
      </w:r>
    </w:p>
    <w:p w:rsidR="003F063C" w:rsidRDefault="003F063C" w:rsidP="00184A4C">
      <w:pPr>
        <w:pStyle w:val="ColorfulList-Accent11"/>
        <w:numPr>
          <w:ilvl w:val="0"/>
          <w:numId w:val="16"/>
        </w:numPr>
        <w:spacing w:before="0" w:after="0"/>
        <w:ind w:left="714" w:hanging="357"/>
        <w:rPr>
          <w:szCs w:val="20"/>
        </w:rPr>
      </w:pPr>
      <w:r>
        <w:rPr>
          <w:szCs w:val="20"/>
        </w:rPr>
        <w:t>zajištění souhlasu ze strany uživatelů opencard, resp. splnění povinnosti oznámení</w:t>
      </w:r>
      <w:r w:rsidRPr="0075408E">
        <w:rPr>
          <w:szCs w:val="20"/>
        </w:rPr>
        <w:t xml:space="preserve"> převod</w:t>
      </w:r>
      <w:r>
        <w:rPr>
          <w:szCs w:val="20"/>
        </w:rPr>
        <w:t>u</w:t>
      </w:r>
      <w:r w:rsidRPr="0075408E">
        <w:rPr>
          <w:szCs w:val="20"/>
        </w:rPr>
        <w:t xml:space="preserve"> </w:t>
      </w:r>
      <w:r>
        <w:rPr>
          <w:szCs w:val="20"/>
        </w:rPr>
        <w:t xml:space="preserve">těmto </w:t>
      </w:r>
      <w:r w:rsidRPr="0075408E">
        <w:rPr>
          <w:szCs w:val="20"/>
        </w:rPr>
        <w:t>uživatelům</w:t>
      </w:r>
      <w:r>
        <w:rPr>
          <w:szCs w:val="20"/>
        </w:rPr>
        <w:t>,</w:t>
      </w:r>
    </w:p>
    <w:p w:rsidR="003F063C" w:rsidRPr="0075408E" w:rsidRDefault="003F063C" w:rsidP="00184A4C">
      <w:pPr>
        <w:pStyle w:val="ColorfulList-Accent11"/>
        <w:numPr>
          <w:ilvl w:val="0"/>
          <w:numId w:val="16"/>
        </w:numPr>
        <w:spacing w:before="0" w:after="0"/>
        <w:ind w:left="714" w:hanging="357"/>
        <w:rPr>
          <w:szCs w:val="20"/>
        </w:rPr>
      </w:pPr>
      <w:r>
        <w:rPr>
          <w:szCs w:val="20"/>
        </w:rPr>
        <w:t>koordinace postupu při převodu kmene uživatelů s Úřadem pro ochranu osobních údajů.</w:t>
      </w:r>
      <w:r w:rsidRPr="0075408E">
        <w:rPr>
          <w:szCs w:val="20"/>
        </w:rPr>
        <w:t xml:space="preserve"> </w:t>
      </w:r>
    </w:p>
    <w:p w:rsidR="003F063C" w:rsidRDefault="003F063C" w:rsidP="000B79AA">
      <w:pPr>
        <w:rPr>
          <w:szCs w:val="20"/>
        </w:rPr>
      </w:pPr>
      <w:r>
        <w:rPr>
          <w:szCs w:val="20"/>
        </w:rPr>
        <w:t xml:space="preserve">S ohledem na výše uvedené je nezbytné upozornit na skutečnost, že např. povinnost oznámení převodu uživatelům opencard je nutno splnit minimálně 2 kalendářní měsíce před účinností převodu, a to prostřednictvím kontaktních míst opencard, internetových stránek, popř. doručení listinných oznámení. </w:t>
      </w:r>
    </w:p>
    <w:p w:rsidR="003F063C" w:rsidRPr="002E32C2" w:rsidRDefault="003F063C" w:rsidP="000B79AA">
      <w:pPr>
        <w:spacing w:before="120"/>
        <w:rPr>
          <w:rFonts w:ascii="Times New Roman" w:hAnsi="Times New Roman"/>
          <w:szCs w:val="20"/>
          <w:u w:val="single"/>
        </w:rPr>
      </w:pPr>
      <w:r>
        <w:rPr>
          <w:szCs w:val="20"/>
        </w:rPr>
        <w:t>Ad. 2</w:t>
      </w:r>
      <w:r>
        <w:rPr>
          <w:szCs w:val="20"/>
        </w:rPr>
        <w:tab/>
      </w:r>
      <w:r w:rsidRPr="00D27AC3">
        <w:rPr>
          <w:szCs w:val="20"/>
          <w:u w:val="single"/>
        </w:rPr>
        <w:t>Založení společnosti opencard</w:t>
      </w:r>
    </w:p>
    <w:p w:rsidR="003F063C" w:rsidRDefault="003F063C" w:rsidP="000B79AA">
      <w:pPr>
        <w:rPr>
          <w:rFonts w:cs="Arial"/>
          <w:bCs/>
          <w:iCs/>
          <w:szCs w:val="20"/>
          <w:u w:val="single"/>
        </w:rPr>
      </w:pPr>
      <w:r>
        <w:rPr>
          <w:szCs w:val="20"/>
        </w:rPr>
        <w:t xml:space="preserve">K založení kapitálové společnosti </w:t>
      </w:r>
      <w:r>
        <w:rPr>
          <w:rFonts w:cs="Arial"/>
          <w:bCs/>
          <w:iCs/>
          <w:szCs w:val="20"/>
          <w:u w:val="single"/>
        </w:rPr>
        <w:t>(dále jen „společnost opencard“) je potřeba naplnit následující kroky:</w:t>
      </w:r>
    </w:p>
    <w:p w:rsidR="003F063C" w:rsidRPr="00633D75" w:rsidRDefault="003F063C" w:rsidP="00184A4C">
      <w:pPr>
        <w:pStyle w:val="ColorfulList-Accent11"/>
        <w:numPr>
          <w:ilvl w:val="0"/>
          <w:numId w:val="16"/>
        </w:numPr>
        <w:spacing w:before="0" w:after="0"/>
        <w:rPr>
          <w:rFonts w:cs="Arial"/>
          <w:bCs/>
          <w:iCs/>
          <w:szCs w:val="20"/>
          <w:u w:val="single"/>
        </w:rPr>
      </w:pPr>
      <w:r w:rsidRPr="00633D75">
        <w:rPr>
          <w:rFonts w:cs="Arial"/>
          <w:bCs/>
          <w:iCs/>
          <w:szCs w:val="20"/>
          <w:u w:val="single"/>
        </w:rPr>
        <w:t>jmenování znalce</w:t>
      </w:r>
      <w:r>
        <w:rPr>
          <w:rFonts w:cs="Arial"/>
          <w:bCs/>
          <w:iCs/>
          <w:szCs w:val="20"/>
          <w:u w:val="single"/>
        </w:rPr>
        <w:t xml:space="preserve"> prostřednictvím soudu pro účely ocenění nepeněžitých vkladů </w:t>
      </w:r>
      <w:r w:rsidRPr="00633D75">
        <w:rPr>
          <w:rFonts w:cs="Arial"/>
          <w:bCs/>
          <w:iCs/>
          <w:szCs w:val="20"/>
          <w:u w:val="single"/>
        </w:rPr>
        <w:t xml:space="preserve"> </w:t>
      </w:r>
    </w:p>
    <w:p w:rsidR="003F063C" w:rsidRPr="00425ED5" w:rsidRDefault="003F063C" w:rsidP="00184A4C">
      <w:pPr>
        <w:pStyle w:val="NoSpacing1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25ED5">
        <w:rPr>
          <w:rFonts w:ascii="Arial" w:hAnsi="Arial" w:cs="Arial"/>
          <w:sz w:val="20"/>
          <w:szCs w:val="20"/>
        </w:rPr>
        <w:t>ajištění znaleckého posudku na nepeněžit</w:t>
      </w:r>
      <w:r>
        <w:rPr>
          <w:rFonts w:ascii="Arial" w:hAnsi="Arial" w:cs="Arial"/>
          <w:sz w:val="20"/>
          <w:szCs w:val="20"/>
        </w:rPr>
        <w:t>é</w:t>
      </w:r>
      <w:r w:rsidRPr="00425ED5">
        <w:rPr>
          <w:rFonts w:ascii="Arial" w:hAnsi="Arial" w:cs="Arial"/>
          <w:sz w:val="20"/>
          <w:szCs w:val="20"/>
        </w:rPr>
        <w:t xml:space="preserve"> vklad</w:t>
      </w:r>
      <w:r>
        <w:rPr>
          <w:rFonts w:ascii="Arial" w:hAnsi="Arial" w:cs="Arial"/>
          <w:sz w:val="20"/>
          <w:szCs w:val="20"/>
        </w:rPr>
        <w:t>y</w:t>
      </w:r>
      <w:r w:rsidRPr="00C873FD">
        <w:rPr>
          <w:rFonts w:ascii="Arial" w:hAnsi="Arial" w:cs="Arial"/>
          <w:bCs/>
          <w:iCs/>
          <w:sz w:val="20"/>
          <w:szCs w:val="20"/>
        </w:rPr>
        <w:t>,</w:t>
      </w:r>
    </w:p>
    <w:p w:rsidR="003F063C" w:rsidRPr="00425ED5" w:rsidRDefault="003F063C" w:rsidP="00184A4C">
      <w:pPr>
        <w:pStyle w:val="ColorfulList-Accent11"/>
        <w:numPr>
          <w:ilvl w:val="0"/>
          <w:numId w:val="16"/>
        </w:numPr>
        <w:spacing w:before="0" w:after="0"/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založení společnosti – uzavření zakladatelské smlouvy ve formě notářského zápisu, včetně stanov,</w:t>
      </w:r>
    </w:p>
    <w:p w:rsidR="003F063C" w:rsidRDefault="003F063C" w:rsidP="00184A4C">
      <w:pPr>
        <w:pStyle w:val="ColorfulList-Accent11"/>
        <w:numPr>
          <w:ilvl w:val="0"/>
          <w:numId w:val="16"/>
        </w:numPr>
        <w:spacing w:before="0" w:after="0"/>
        <w:rPr>
          <w:rFonts w:cs="Arial"/>
          <w:bCs/>
          <w:iCs/>
          <w:szCs w:val="20"/>
          <w:u w:val="single"/>
        </w:rPr>
      </w:pPr>
      <w:r>
        <w:rPr>
          <w:rFonts w:cs="Arial"/>
          <w:bCs/>
          <w:iCs/>
          <w:szCs w:val="20"/>
          <w:u w:val="single"/>
        </w:rPr>
        <w:t>splacení vkladů do základního kapitálu,</w:t>
      </w:r>
    </w:p>
    <w:p w:rsidR="003F063C" w:rsidRDefault="003F063C" w:rsidP="00184A4C">
      <w:pPr>
        <w:pStyle w:val="ColorfulList-Accent11"/>
        <w:numPr>
          <w:ilvl w:val="0"/>
          <w:numId w:val="16"/>
        </w:numPr>
        <w:spacing w:before="0" w:after="0"/>
        <w:rPr>
          <w:rFonts w:cs="Arial"/>
          <w:bCs/>
          <w:iCs/>
          <w:szCs w:val="20"/>
        </w:rPr>
      </w:pPr>
      <w:r w:rsidRPr="00425ED5">
        <w:rPr>
          <w:rFonts w:cs="Arial"/>
          <w:bCs/>
          <w:iCs/>
          <w:szCs w:val="20"/>
        </w:rPr>
        <w:t xml:space="preserve">získání </w:t>
      </w:r>
      <w:r>
        <w:rPr>
          <w:rFonts w:cs="Arial"/>
          <w:bCs/>
          <w:iCs/>
          <w:szCs w:val="20"/>
        </w:rPr>
        <w:t xml:space="preserve">příslušných </w:t>
      </w:r>
      <w:r w:rsidRPr="00425ED5">
        <w:rPr>
          <w:rFonts w:cs="Arial"/>
          <w:bCs/>
          <w:iCs/>
          <w:szCs w:val="20"/>
        </w:rPr>
        <w:t>živnostenských</w:t>
      </w:r>
      <w:r>
        <w:rPr>
          <w:rFonts w:cs="Arial"/>
          <w:bCs/>
          <w:iCs/>
          <w:szCs w:val="20"/>
        </w:rPr>
        <w:t xml:space="preserve">, popř. jiných </w:t>
      </w:r>
      <w:r w:rsidRPr="00425ED5">
        <w:rPr>
          <w:rFonts w:cs="Arial"/>
          <w:bCs/>
          <w:iCs/>
          <w:szCs w:val="20"/>
        </w:rPr>
        <w:t>oprávnění</w:t>
      </w:r>
      <w:r>
        <w:rPr>
          <w:rFonts w:cs="Arial"/>
          <w:bCs/>
          <w:iCs/>
          <w:szCs w:val="20"/>
        </w:rPr>
        <w:t>, nezbytných k realizaci předmětu podnikání,</w:t>
      </w:r>
    </w:p>
    <w:p w:rsidR="003F063C" w:rsidRPr="00425ED5" w:rsidRDefault="003F063C" w:rsidP="00184A4C">
      <w:pPr>
        <w:pStyle w:val="ColorfulList-Accent11"/>
        <w:numPr>
          <w:ilvl w:val="0"/>
          <w:numId w:val="16"/>
        </w:numPr>
        <w:spacing w:before="0" w:after="0"/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zápis společnosti opencard do obchodního rejstříku.</w:t>
      </w:r>
    </w:p>
    <w:p w:rsidR="003F063C" w:rsidRPr="004C5E36" w:rsidRDefault="003F063C" w:rsidP="000B79AA">
      <w:pPr>
        <w:spacing w:before="120" w:after="0"/>
        <w:rPr>
          <w:szCs w:val="20"/>
        </w:rPr>
      </w:pPr>
      <w:r w:rsidRPr="004C5E36">
        <w:rPr>
          <w:szCs w:val="20"/>
        </w:rPr>
        <w:t xml:space="preserve">Základem založení společnosti opencard je vzájemná spolupráce </w:t>
      </w:r>
      <w:r w:rsidRPr="004C5E36">
        <w:rPr>
          <w:rFonts w:cs="Arial"/>
          <w:bCs/>
          <w:iCs/>
          <w:szCs w:val="20"/>
        </w:rPr>
        <w:t xml:space="preserve">DPHMP a </w:t>
      </w:r>
      <w:r>
        <w:rPr>
          <w:rFonts w:cs="Arial"/>
          <w:bCs/>
          <w:iCs/>
          <w:szCs w:val="20"/>
        </w:rPr>
        <w:t xml:space="preserve">partnera v průběhu celého procesu, zejména ohledně uzavření zakladatelské smlouvy a vymezení textu stanov, v nichž budou řešeny mimo jiné otázky majetkové účasti akcionářů a vnitřní organizace společnosti. </w:t>
      </w:r>
    </w:p>
    <w:p w:rsidR="003F063C" w:rsidRDefault="003F063C" w:rsidP="000B79AA">
      <w:pPr>
        <w:pStyle w:val="NoSpacing1"/>
        <w:spacing w:before="120"/>
        <w:jc w:val="both"/>
        <w:rPr>
          <w:rFonts w:ascii="Arial" w:hAnsi="Arial" w:cs="Arial"/>
          <w:sz w:val="20"/>
          <w:szCs w:val="20"/>
        </w:rPr>
      </w:pPr>
      <w:r w:rsidRPr="00425ED5">
        <w:rPr>
          <w:rFonts w:ascii="Arial" w:hAnsi="Arial" w:cs="Arial"/>
          <w:sz w:val="20"/>
          <w:szCs w:val="20"/>
        </w:rPr>
        <w:t xml:space="preserve">S ohledem na § 59 odst. 3 </w:t>
      </w:r>
      <w:r>
        <w:rPr>
          <w:rFonts w:ascii="Arial" w:hAnsi="Arial" w:cs="Arial"/>
          <w:sz w:val="20"/>
          <w:szCs w:val="20"/>
        </w:rPr>
        <w:t>obchodního zákoníku</w:t>
      </w:r>
      <w:r w:rsidRPr="00425ED5">
        <w:rPr>
          <w:rFonts w:ascii="Arial" w:hAnsi="Arial" w:cs="Arial"/>
          <w:sz w:val="20"/>
          <w:szCs w:val="20"/>
        </w:rPr>
        <w:t xml:space="preserve"> se hodnota nepeněžitého vkladu stanoví na základě posudku zpracovaného znalcem nezávislým na společnosti, jmenovaným za tím účelem soudem. Návrh </w:t>
      </w:r>
      <w:r>
        <w:rPr>
          <w:rFonts w:ascii="Arial" w:hAnsi="Arial" w:cs="Arial"/>
          <w:sz w:val="20"/>
          <w:szCs w:val="20"/>
        </w:rPr>
        <w:t>na jmenování znalce podávají</w:t>
      </w:r>
      <w:r w:rsidRPr="00425ED5">
        <w:rPr>
          <w:rFonts w:ascii="Arial" w:hAnsi="Arial" w:cs="Arial"/>
          <w:sz w:val="20"/>
          <w:szCs w:val="20"/>
        </w:rPr>
        <w:t xml:space="preserve"> zakladatel</w:t>
      </w:r>
      <w:r>
        <w:rPr>
          <w:rFonts w:ascii="Arial" w:hAnsi="Arial" w:cs="Arial"/>
          <w:sz w:val="20"/>
          <w:szCs w:val="20"/>
        </w:rPr>
        <w:t>é</w:t>
      </w:r>
      <w:r w:rsidRPr="00425ED5">
        <w:rPr>
          <w:rFonts w:ascii="Arial" w:hAnsi="Arial" w:cs="Arial"/>
          <w:sz w:val="20"/>
          <w:szCs w:val="20"/>
        </w:rPr>
        <w:t xml:space="preserve"> nebo společnost, avšak soud návrhem není vázán. O návrhu musí soud rozhodnout do 15 dnů od doručení návrhu. </w:t>
      </w:r>
    </w:p>
    <w:p w:rsidR="003F063C" w:rsidRDefault="003F063C" w:rsidP="000B79AA">
      <w:pPr>
        <w:pStyle w:val="NoSpacing1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zakladatelské smlouvy a stanov, včetně smlouvy o nepeněžitém vkladu však bude muset být schválen před jejich uzavřením (přijetím) ze strany Rady HMP v působnosti valné hromady DPHMP.</w:t>
      </w:r>
    </w:p>
    <w:p w:rsidR="003F063C" w:rsidRDefault="003F063C" w:rsidP="000B79AA">
      <w:pPr>
        <w:pStyle w:val="NoSpacing1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nejlepší forma vložení výše uvedených aktiv do základního kapitálu společnosti opencard se jeví vklad ve formě části podniku DPHMP a partnera zajišťujícího provoz opencard</w:t>
      </w:r>
      <w:r w:rsidRPr="007445F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Při vkladu se tak nebude vyžadovat souhlas věřitelů, popř. uživatelů opencard s převodem, avšak společnost opencard bude povinna bez zbytečného odkladu oznámit dotčeným osobám přechod závazků s převodem spojených. </w:t>
      </w:r>
    </w:p>
    <w:p w:rsidR="003F063C" w:rsidRPr="00AB4969" w:rsidRDefault="003F063C" w:rsidP="000B79AA">
      <w:pPr>
        <w:pStyle w:val="NoSpacing1"/>
        <w:spacing w:before="120"/>
        <w:jc w:val="both"/>
        <w:rPr>
          <w:rFonts w:ascii="Arial" w:hAnsi="Arial" w:cs="Arial"/>
          <w:sz w:val="20"/>
          <w:szCs w:val="20"/>
        </w:rPr>
      </w:pPr>
      <w:r w:rsidRPr="00AB4969">
        <w:rPr>
          <w:rFonts w:ascii="Arial" w:hAnsi="Arial" w:cs="Arial"/>
          <w:sz w:val="20"/>
          <w:szCs w:val="20"/>
        </w:rPr>
        <w:t xml:space="preserve">Při zakládání </w:t>
      </w:r>
      <w:r>
        <w:rPr>
          <w:rFonts w:ascii="Arial" w:hAnsi="Arial" w:cs="Arial"/>
          <w:sz w:val="20"/>
          <w:szCs w:val="20"/>
        </w:rPr>
        <w:t>s</w:t>
      </w:r>
      <w:r w:rsidRPr="00AB4969">
        <w:rPr>
          <w:rFonts w:ascii="Arial" w:hAnsi="Arial" w:cs="Arial"/>
          <w:sz w:val="20"/>
          <w:szCs w:val="20"/>
        </w:rPr>
        <w:t xml:space="preserve">polečnosti </w:t>
      </w:r>
      <w:r>
        <w:rPr>
          <w:rFonts w:ascii="Arial" w:hAnsi="Arial" w:cs="Arial"/>
          <w:sz w:val="20"/>
          <w:szCs w:val="20"/>
        </w:rPr>
        <w:t xml:space="preserve">opencard </w:t>
      </w:r>
      <w:r w:rsidRPr="00AB4969">
        <w:rPr>
          <w:rFonts w:ascii="Arial" w:hAnsi="Arial" w:cs="Arial"/>
          <w:sz w:val="20"/>
          <w:szCs w:val="20"/>
        </w:rPr>
        <w:t xml:space="preserve">je nutno </w:t>
      </w:r>
      <w:r>
        <w:rPr>
          <w:rFonts w:ascii="Arial" w:hAnsi="Arial" w:cs="Arial"/>
          <w:sz w:val="20"/>
          <w:szCs w:val="20"/>
        </w:rPr>
        <w:t xml:space="preserve">splnit podmínku </w:t>
      </w:r>
      <w:r w:rsidRPr="00AB4969">
        <w:rPr>
          <w:rFonts w:ascii="Arial" w:hAnsi="Arial" w:cs="Arial"/>
          <w:sz w:val="20"/>
          <w:szCs w:val="20"/>
        </w:rPr>
        <w:t>ohlá</w:t>
      </w:r>
      <w:r>
        <w:rPr>
          <w:rFonts w:ascii="Arial" w:hAnsi="Arial" w:cs="Arial"/>
          <w:sz w:val="20"/>
          <w:szCs w:val="20"/>
        </w:rPr>
        <w:t>šení</w:t>
      </w:r>
      <w:r w:rsidRPr="00AB4969">
        <w:rPr>
          <w:rFonts w:ascii="Arial" w:hAnsi="Arial" w:cs="Arial"/>
          <w:sz w:val="20"/>
          <w:szCs w:val="20"/>
        </w:rPr>
        <w:t xml:space="preserve"> nové živnosti</w:t>
      </w:r>
      <w:r>
        <w:rPr>
          <w:rFonts w:ascii="Arial" w:hAnsi="Arial" w:cs="Arial"/>
          <w:sz w:val="20"/>
          <w:szCs w:val="20"/>
        </w:rPr>
        <w:t xml:space="preserve"> (nebo živností)</w:t>
      </w:r>
      <w:r w:rsidRPr="00AB4969">
        <w:rPr>
          <w:rFonts w:ascii="Arial" w:hAnsi="Arial" w:cs="Arial"/>
          <w:sz w:val="20"/>
          <w:szCs w:val="20"/>
        </w:rPr>
        <w:t xml:space="preserve"> živnostenskému úřadu a požádat o vydání živnostenských listů. Živnostenský úřad je povinen vystavit živnostenský list </w:t>
      </w:r>
      <w:r w:rsidRPr="00AB4969">
        <w:rPr>
          <w:rFonts w:ascii="Arial" w:hAnsi="Arial" w:cs="Arial"/>
          <w:sz w:val="20"/>
          <w:szCs w:val="20"/>
          <w:u w:val="single"/>
        </w:rPr>
        <w:t>do 5 dnů od správného ohlášení</w:t>
      </w:r>
      <w:r w:rsidRPr="00AB4969">
        <w:rPr>
          <w:rFonts w:ascii="Arial" w:hAnsi="Arial" w:cs="Arial"/>
          <w:sz w:val="20"/>
          <w:szCs w:val="20"/>
        </w:rPr>
        <w:t>.</w:t>
      </w:r>
    </w:p>
    <w:p w:rsidR="003F063C" w:rsidRDefault="003F063C" w:rsidP="000B79AA">
      <w:pPr>
        <w:spacing w:before="120" w:after="0"/>
        <w:rPr>
          <w:rFonts w:cs="Arial"/>
          <w:szCs w:val="20"/>
        </w:rPr>
      </w:pPr>
      <w:r>
        <w:rPr>
          <w:rFonts w:cs="Arial"/>
          <w:szCs w:val="20"/>
        </w:rPr>
        <w:t xml:space="preserve">Společnost opencard vznikne na základě jejího zápisu do obchodního rejstříku, </w:t>
      </w:r>
      <w:r w:rsidRPr="005354CE">
        <w:rPr>
          <w:rFonts w:cs="Arial"/>
          <w:szCs w:val="20"/>
        </w:rPr>
        <w:t>kdy rejstříkový soud povinen provést zápis do rejstříku nejpozději do 5 pracovních dnů ode dne podání návrhu</w:t>
      </w:r>
      <w:r>
        <w:rPr>
          <w:rFonts w:cs="Arial"/>
          <w:szCs w:val="20"/>
        </w:rPr>
        <w:t xml:space="preserve"> na zápis</w:t>
      </w:r>
      <w:r w:rsidRPr="005354CE">
        <w:rPr>
          <w:rFonts w:cs="Arial"/>
          <w:szCs w:val="20"/>
        </w:rPr>
        <w:t>.</w:t>
      </w:r>
    </w:p>
    <w:p w:rsidR="003F063C" w:rsidRDefault="003F063C" w:rsidP="000B79AA">
      <w:pPr>
        <w:spacing w:before="120"/>
        <w:rPr>
          <w:szCs w:val="20"/>
          <w:u w:val="single"/>
        </w:rPr>
      </w:pPr>
      <w:r>
        <w:rPr>
          <w:szCs w:val="20"/>
        </w:rPr>
        <w:t>Ad. 3.</w:t>
      </w:r>
      <w:r>
        <w:rPr>
          <w:szCs w:val="20"/>
        </w:rPr>
        <w:tab/>
      </w:r>
      <w:r>
        <w:rPr>
          <w:szCs w:val="20"/>
          <w:u w:val="single"/>
        </w:rPr>
        <w:t>Vstup strategického partnera do společnosti opencard</w:t>
      </w:r>
    </w:p>
    <w:p w:rsidR="003F063C" w:rsidRDefault="003F063C" w:rsidP="000B79AA">
      <w:pPr>
        <w:spacing w:before="120"/>
        <w:rPr>
          <w:szCs w:val="20"/>
        </w:rPr>
      </w:pPr>
      <w:r>
        <w:rPr>
          <w:szCs w:val="20"/>
        </w:rPr>
        <w:t xml:space="preserve">Podmínky samotného vstupu strategického partnera do společnosti opencard budou řešeny až po uskutečnění odpovídajících kroků pro výběr takového partnera, tudíž v tuto dobu je nelze bez dalšího nastavit. </w:t>
      </w:r>
    </w:p>
    <w:p w:rsidR="003F063C" w:rsidRDefault="003F063C" w:rsidP="000B79AA">
      <w:pPr>
        <w:spacing w:before="120"/>
        <w:rPr>
          <w:szCs w:val="20"/>
        </w:rPr>
      </w:pPr>
    </w:p>
    <w:p w:rsidR="003F063C" w:rsidRDefault="003F063C" w:rsidP="000B79AA">
      <w:pPr>
        <w:spacing w:before="120"/>
        <w:rPr>
          <w:szCs w:val="20"/>
        </w:rPr>
      </w:pPr>
    </w:p>
    <w:p w:rsidR="003F063C" w:rsidRDefault="003F063C" w:rsidP="000B79AA">
      <w:pPr>
        <w:spacing w:before="120"/>
        <w:rPr>
          <w:szCs w:val="20"/>
        </w:rPr>
      </w:pPr>
    </w:p>
    <w:p w:rsidR="003F063C" w:rsidRDefault="003F063C" w:rsidP="000B79AA">
      <w:pPr>
        <w:pStyle w:val="Heading1"/>
        <w:numPr>
          <w:ilvl w:val="0"/>
          <w:numId w:val="0"/>
        </w:numPr>
      </w:pPr>
      <w:r>
        <w:t>Příloha 2: Rozpočet migrace na opencard v roce 2010</w:t>
      </w:r>
    </w:p>
    <w:p w:rsidR="003F063C" w:rsidRDefault="003F063C" w:rsidP="000B79AA">
      <w:pPr>
        <w:rPr>
          <w:rFonts w:cs="Arial"/>
          <w:color w:val="4F6228"/>
          <w:kern w:val="32"/>
          <w:sz w:val="26"/>
          <w:szCs w:val="28"/>
        </w:rPr>
      </w:pPr>
      <w:r>
        <w:rPr>
          <w:noProof/>
          <w:lang w:eastAsia="cs-CZ"/>
        </w:rPr>
        <w:pict>
          <v:shape id="Picture 4" o:spid="_x0000_i1033" type="#_x0000_t75" style="width:519.75pt;height:632.25pt;visibility:visible">
            <v:imagedata r:id="rId22" o:title=""/>
          </v:shape>
        </w:pict>
      </w:r>
      <w:r>
        <w:br w:type="page"/>
      </w:r>
    </w:p>
    <w:p w:rsidR="003F063C" w:rsidRDefault="003F063C" w:rsidP="000B79AA">
      <w:pPr>
        <w:pStyle w:val="Heading1"/>
        <w:numPr>
          <w:ilvl w:val="0"/>
          <w:numId w:val="0"/>
        </w:numPr>
      </w:pPr>
      <w:r>
        <w:t xml:space="preserve">příloha 3: Úspěšné projekty založené na využití smart karet </w:t>
      </w:r>
    </w:p>
    <w:p w:rsidR="003F063C" w:rsidRDefault="003F063C" w:rsidP="000B79AA">
      <w:r>
        <w:t>České i z</w:t>
      </w:r>
      <w:r w:rsidRPr="00B500B3">
        <w:t xml:space="preserve">ahraniční zkušenosti potvrzují, že </w:t>
      </w:r>
      <w:r w:rsidRPr="001978FD">
        <w:rPr>
          <w:b/>
        </w:rPr>
        <w:t>smart karty jsou efektivním nástrojem k vytvoření rozsáhlého kmene unikátních uživatelů</w:t>
      </w:r>
      <w:r>
        <w:t xml:space="preserve"> a zároveň </w:t>
      </w:r>
      <w:r w:rsidRPr="001978FD">
        <w:rPr>
          <w:b/>
        </w:rPr>
        <w:t>platformy pro systém benefitů</w:t>
      </w:r>
      <w:r>
        <w:t xml:space="preserve">, např. ve formě </w:t>
      </w:r>
      <w:r w:rsidRPr="00B500B3">
        <w:t>věrnostní</w:t>
      </w:r>
      <w:r>
        <w:t>ho</w:t>
      </w:r>
      <w:r w:rsidRPr="00B500B3">
        <w:t xml:space="preserve"> program</w:t>
      </w:r>
      <w:r>
        <w:t>u</w:t>
      </w:r>
      <w:r w:rsidRPr="00B500B3">
        <w:t xml:space="preserve"> (vlastní</w:t>
      </w:r>
      <w:r>
        <w:t>ho</w:t>
      </w:r>
      <w:r w:rsidRPr="00B500B3">
        <w:t xml:space="preserve"> nebo sdílen</w:t>
      </w:r>
      <w:r>
        <w:t>ého</w:t>
      </w:r>
      <w:r w:rsidRPr="00B500B3">
        <w:t xml:space="preserve"> s externím subjektem)</w:t>
      </w:r>
      <w:r>
        <w:t>.</w:t>
      </w:r>
    </w:p>
    <w:p w:rsidR="003F063C" w:rsidRDefault="003F063C" w:rsidP="000B79AA">
      <w:r>
        <w:t xml:space="preserve">Obecným trendem u všech úspěšných projektů je </w:t>
      </w:r>
      <w:r w:rsidRPr="00CB1DF9">
        <w:rPr>
          <w:b/>
        </w:rPr>
        <w:t>významně rostoucí podíl výnosů z komerčních aplikací</w:t>
      </w:r>
      <w:r w:rsidRPr="006872A5">
        <w:t xml:space="preserve"> (</w:t>
      </w:r>
      <w:r>
        <w:t xml:space="preserve">zejména </w:t>
      </w:r>
      <w:r w:rsidRPr="006872A5">
        <w:t>služeb dostupných prostřednictvím věrnostních programů</w:t>
      </w:r>
      <w:r>
        <w:t>, mikroplateb a identifikace v zabezpečených přístupových systémech</w:t>
      </w:r>
      <w:r w:rsidRPr="006872A5">
        <w:t>)</w:t>
      </w:r>
      <w:r>
        <w:t>. K významnějšímu zvýšení těchto výnosů</w:t>
      </w:r>
      <w:r>
        <w:rPr>
          <w:b/>
        </w:rPr>
        <w:t xml:space="preserve"> dochází </w:t>
      </w:r>
      <w:r w:rsidRPr="006872A5">
        <w:rPr>
          <w:b/>
        </w:rPr>
        <w:t>v rozmezí několika let po spuštění dopravní aplikace</w:t>
      </w:r>
      <w:r>
        <w:t>.</w:t>
      </w:r>
    </w:p>
    <w:p w:rsidR="003F063C" w:rsidRPr="006872A5" w:rsidRDefault="003F063C" w:rsidP="000B79AA">
      <w:pPr>
        <w:rPr>
          <w:b/>
        </w:rPr>
      </w:pPr>
      <w:r>
        <w:rPr>
          <w:noProof/>
          <w:lang w:eastAsia="cs-CZ"/>
        </w:rPr>
        <w:pict>
          <v:rect id="_x0000_s1027" style="position:absolute;left:0;text-align:left;margin-left:-2.15pt;margin-top:119.25pt;width:209.3pt;height:254.25pt;rotation:-360;z-index:251657728;mso-position-horizontal-relative:margin;mso-position-vertical-relative:margin" o:allowincell="f" filled="f" fillcolor="#4f81bd" stroked="f">
            <v:imagedata embosscolor="shadow add(51)"/>
            <v:shadow type="emboss" color="lineOrFill darken(153)" color2="shadow add(102)" offset="1pt,1pt"/>
            <v:textbox style="mso-next-textbox:#_x0000_s1027" inset=",7.2pt,,7.2pt">
              <w:txbxContent>
                <w:p w:rsidR="003F063C" w:rsidRDefault="003F063C" w:rsidP="000B79AA">
                  <w:r w:rsidRPr="00BF0C82">
                    <w:rPr>
                      <w:b/>
                      <w:i/>
                      <w:color w:val="595959"/>
                      <w:szCs w:val="19"/>
                    </w:rPr>
                    <w:t>Vydavateli a provozovateli karet jsou</w:t>
                  </w:r>
                  <w:r w:rsidRPr="00BF0C82">
                    <w:rPr>
                      <w:i/>
                      <w:color w:val="595959"/>
                      <w:szCs w:val="19"/>
                    </w:rPr>
                    <w:t xml:space="preserve"> ve většině případů</w:t>
                  </w:r>
                  <w:r w:rsidRPr="00BF0C82">
                    <w:rPr>
                      <w:b/>
                      <w:i/>
                      <w:color w:val="595959"/>
                      <w:szCs w:val="19"/>
                    </w:rPr>
                    <w:t xml:space="preserve"> soukromé firmy mimo municipalitu.</w:t>
                  </w:r>
                  <w:r w:rsidRPr="004F292C">
                    <w:rPr>
                      <w:b/>
                    </w:rPr>
                    <w:t xml:space="preserve"> </w:t>
                  </w:r>
                </w:p>
                <w:p w:rsidR="003F063C" w:rsidRPr="00BF0C82" w:rsidRDefault="003F063C" w:rsidP="000B79AA">
                  <w:pPr>
                    <w:pBdr>
                      <w:top w:val="single" w:sz="24" w:space="10" w:color="CDDDAC"/>
                      <w:bottom w:val="single" w:sz="24" w:space="10" w:color="CDDDAC"/>
                    </w:pBdr>
                    <w:spacing w:after="0"/>
                    <w:rPr>
                      <w:b/>
                      <w:i/>
                      <w:color w:val="595959"/>
                      <w:szCs w:val="19"/>
                    </w:rPr>
                  </w:pPr>
                  <w:r w:rsidRPr="00BF0C82">
                    <w:rPr>
                      <w:b/>
                      <w:i/>
                      <w:color w:val="595959"/>
                    </w:rPr>
                    <w:t>Výdej a obnova karet jsou zpoplatněny</w:t>
                  </w:r>
                  <w:r w:rsidRPr="00BF0C82">
                    <w:rPr>
                      <w:i/>
                      <w:color w:val="595959"/>
                    </w:rPr>
                    <w:t xml:space="preserve"> a karta má omezenou dobu platnosti.</w:t>
                  </w:r>
                </w:p>
                <w:p w:rsidR="003F063C" w:rsidRPr="00BF0C82" w:rsidRDefault="003F063C" w:rsidP="000B79AA">
                  <w:pPr>
                    <w:rPr>
                      <w:i/>
                      <w:color w:val="595959"/>
                      <w:szCs w:val="19"/>
                    </w:rPr>
                  </w:pPr>
                  <w:r w:rsidRPr="00BF0C82">
                    <w:rPr>
                      <w:i/>
                      <w:color w:val="595959"/>
                      <w:szCs w:val="19"/>
                    </w:rPr>
                    <w:t xml:space="preserve">Úspěšné rozšíření komerčních funkcionalit karet následovalo až po zavedení dopravní aplikace a obvykle zahrnovalo </w:t>
                  </w:r>
                  <w:r w:rsidRPr="00BF0C82">
                    <w:rPr>
                      <w:b/>
                      <w:i/>
                      <w:color w:val="595959"/>
                      <w:szCs w:val="19"/>
                    </w:rPr>
                    <w:t>systém věrnostních výhod a benefitů pro držitele karty</w:t>
                  </w:r>
                  <w:r w:rsidRPr="00BF0C82">
                    <w:rPr>
                      <w:i/>
                      <w:color w:val="595959"/>
                      <w:szCs w:val="19"/>
                    </w:rPr>
                    <w:t>.</w:t>
                  </w:r>
                </w:p>
                <w:p w:rsidR="003F063C" w:rsidRPr="00BF0C82" w:rsidRDefault="003F063C" w:rsidP="000B79AA">
                  <w:pPr>
                    <w:pBdr>
                      <w:top w:val="single" w:sz="24" w:space="10" w:color="CDDDAC"/>
                      <w:bottom w:val="single" w:sz="24" w:space="10" w:color="CDDDAC"/>
                    </w:pBdr>
                    <w:spacing w:after="0"/>
                    <w:rPr>
                      <w:i/>
                      <w:color w:val="595959"/>
                      <w:szCs w:val="19"/>
                    </w:rPr>
                  </w:pPr>
                  <w:r w:rsidRPr="00BF0C82">
                    <w:rPr>
                      <w:i/>
                      <w:color w:val="595959"/>
                      <w:szCs w:val="19"/>
                    </w:rPr>
                    <w:t xml:space="preserve">Smart karty nabízejí zpravidla i platební funkcionalitu ve formě </w:t>
                  </w:r>
                  <w:r w:rsidRPr="00BF0C82">
                    <w:rPr>
                      <w:b/>
                      <w:i/>
                      <w:color w:val="595959"/>
                      <w:szCs w:val="19"/>
                    </w:rPr>
                    <w:t>dobíjecí elektronické peněženky</w:t>
                  </w:r>
                  <w:r w:rsidRPr="00BF0C82">
                    <w:rPr>
                      <w:i/>
                      <w:color w:val="595959"/>
                      <w:szCs w:val="19"/>
                    </w:rPr>
                    <w:t xml:space="preserve"> nebo </w:t>
                  </w:r>
                  <w:r w:rsidRPr="00BF0C82">
                    <w:rPr>
                      <w:b/>
                      <w:i/>
                      <w:color w:val="595959"/>
                      <w:szCs w:val="19"/>
                    </w:rPr>
                    <w:t>kontaktní platební karty připojené k bankovním účtům</w:t>
                  </w:r>
                  <w:r w:rsidRPr="00BF0C82">
                    <w:rPr>
                      <w:i/>
                      <w:color w:val="595959"/>
                      <w:szCs w:val="19"/>
                    </w:rPr>
                    <w:t xml:space="preserve"> u některé z bank zapojených do projektu.</w:t>
                  </w:r>
                </w:p>
              </w:txbxContent>
            </v:textbox>
            <w10:wrap type="square" anchorx="margin" anchory="margin"/>
          </v:rect>
        </w:pict>
      </w:r>
      <w:r>
        <w:t xml:space="preserve">Zahraniční projekty rovněž potvrzují </w:t>
      </w:r>
      <w:r w:rsidRPr="006872A5">
        <w:rPr>
          <w:b/>
        </w:rPr>
        <w:t>nutnost řízení rozvoje karty v souladu s dlouhodobou strategickou vizí.</w:t>
      </w:r>
    </w:p>
    <w:p w:rsidR="003F063C" w:rsidRPr="00CE6E48" w:rsidRDefault="003F063C" w:rsidP="000B79AA">
      <w:pPr>
        <w:pStyle w:val="Heading3"/>
        <w:numPr>
          <w:ilvl w:val="0"/>
          <w:numId w:val="0"/>
        </w:numPr>
        <w:ind w:left="720"/>
      </w:pPr>
      <w:r w:rsidRPr="00CE6E48">
        <w:t xml:space="preserve">Octopus Card (Hong Kong) </w:t>
      </w:r>
    </w:p>
    <w:p w:rsidR="003F063C" w:rsidRPr="00B500B3" w:rsidRDefault="003F063C" w:rsidP="000B79AA">
      <w:r w:rsidRPr="00B500B3">
        <w:t xml:space="preserve">Octopus karta představuje </w:t>
      </w:r>
      <w:r w:rsidRPr="00360C7E">
        <w:rPr>
          <w:b/>
        </w:rPr>
        <w:t>nejrozsáhlejší řešení</w:t>
      </w:r>
      <w:r w:rsidRPr="00B500B3">
        <w:t xml:space="preserve"> na bázi bezkontaktní čipové karty </w:t>
      </w:r>
      <w:r w:rsidRPr="00360C7E">
        <w:rPr>
          <w:b/>
        </w:rPr>
        <w:t>s nejvyšší penetrací</w:t>
      </w:r>
      <w:r w:rsidRPr="00B500B3">
        <w:t xml:space="preserve">, </w:t>
      </w:r>
      <w:r w:rsidRPr="00360C7E">
        <w:rPr>
          <w:b/>
        </w:rPr>
        <w:t>objemem transakcí</w:t>
      </w:r>
      <w:r w:rsidRPr="00594A38">
        <w:t xml:space="preserve"> </w:t>
      </w:r>
      <w:r>
        <w:t>a </w:t>
      </w:r>
      <w:r w:rsidRPr="00360C7E">
        <w:rPr>
          <w:b/>
        </w:rPr>
        <w:t xml:space="preserve">rozsahem funkcionalit </w:t>
      </w:r>
      <w:r>
        <w:t>na světě</w:t>
      </w:r>
      <w:r w:rsidRPr="00B500B3">
        <w:t>.</w:t>
      </w:r>
      <w:r w:rsidRPr="00AF131A">
        <w:t xml:space="preserve"> </w:t>
      </w:r>
    </w:p>
    <w:p w:rsidR="003F063C" w:rsidRPr="00360C7E" w:rsidRDefault="003F063C" w:rsidP="000B79AA">
      <w:pPr>
        <w:rPr>
          <w:b/>
        </w:rPr>
      </w:pPr>
      <w:r w:rsidRPr="0013605E">
        <w:t xml:space="preserve">Oproti roku 1997, kdy veškeré výnosy z karty Octopus generovala dopravní aplikace, </w:t>
      </w:r>
      <w:r>
        <w:t xml:space="preserve">dosahoval v roce </w:t>
      </w:r>
      <w:r w:rsidRPr="00264296">
        <w:t>2004</w:t>
      </w:r>
      <w:r>
        <w:t xml:space="preserve"> </w:t>
      </w:r>
      <w:r w:rsidRPr="0078327B">
        <w:rPr>
          <w:b/>
        </w:rPr>
        <w:t xml:space="preserve">podíl výnosů mimo dopravní aplikaci </w:t>
      </w:r>
      <w:r>
        <w:rPr>
          <w:b/>
        </w:rPr>
        <w:t xml:space="preserve">již </w:t>
      </w:r>
      <w:r w:rsidRPr="0078327B">
        <w:rPr>
          <w:b/>
        </w:rPr>
        <w:t>22%</w:t>
      </w:r>
      <w:r w:rsidRPr="0013605E">
        <w:rPr>
          <w:b/>
        </w:rPr>
        <w:t xml:space="preserve">. </w:t>
      </w:r>
      <w:r w:rsidRPr="0013605E">
        <w:t xml:space="preserve">Provozovatel karty, kterým je holdingová společnost sdružující pět dopravců operujících na území Hong Kongu, očekává, že do roku 2013 </w:t>
      </w:r>
      <w:r>
        <w:t xml:space="preserve">bude </w:t>
      </w:r>
      <w:r w:rsidRPr="0013605E">
        <w:rPr>
          <w:b/>
        </w:rPr>
        <w:t>tvořit</w:t>
      </w:r>
      <w:r>
        <w:t xml:space="preserve"> </w:t>
      </w:r>
      <w:r w:rsidRPr="0013605E">
        <w:rPr>
          <w:b/>
        </w:rPr>
        <w:t>podíl ze služeb mimo dopravní aplikaci přibližně polovinu celkových výnosů.</w:t>
      </w:r>
    </w:p>
    <w:p w:rsidR="003F063C" w:rsidRDefault="003F063C" w:rsidP="000B79AA">
      <w:r w:rsidRPr="00B500B3">
        <w:t>Specifikem Hong Kongu je koncentrace velkého počtu obyvatel na mimořádně malé ploše</w:t>
      </w:r>
      <w:r>
        <w:t xml:space="preserve"> a město</w:t>
      </w:r>
      <w:r w:rsidRPr="00B500B3">
        <w:t xml:space="preserve"> patří k lokalitám s největší hustotou osídlení na světě. Octopus </w:t>
      </w:r>
      <w:r>
        <w:t>karta</w:t>
      </w:r>
      <w:r w:rsidRPr="00B500B3">
        <w:t xml:space="preserve"> je </w:t>
      </w:r>
      <w:r>
        <w:t xml:space="preserve">tak </w:t>
      </w:r>
      <w:r w:rsidRPr="00447CC0">
        <w:t>klíčovým prostředkem k urychlení odbavení zákazník</w:t>
      </w:r>
      <w:r>
        <w:t>ů</w:t>
      </w:r>
      <w:r w:rsidRPr="00B500B3">
        <w:t xml:space="preserve"> na frekventovaných místech (obchody, MHD apod.)</w:t>
      </w:r>
      <w:r>
        <w:t xml:space="preserve"> a</w:t>
      </w:r>
      <w:r w:rsidRPr="00B500B3">
        <w:t xml:space="preserve"> </w:t>
      </w:r>
      <w:r w:rsidRPr="00447CC0">
        <w:t>snížení nákladů na manipulaci s hotovostí.</w:t>
      </w:r>
    </w:p>
    <w:p w:rsidR="003F063C" w:rsidRPr="00D029E6" w:rsidRDefault="003F063C" w:rsidP="000B79AA">
      <w:r>
        <w:t>Systém integruje veškeré platby z hromadné dopravy, poplatky za parkování na ulicích a parkovištích i z běžných spotřebitelských plateb (kartu vlastní přibližně 95 </w:t>
      </w:r>
      <w:r w:rsidRPr="00B500B3">
        <w:t>% populace Hong Kongu ve věku od 16 do 65 let</w:t>
      </w:r>
      <w:r>
        <w:t xml:space="preserve">). Každý den se uskuteční </w:t>
      </w:r>
      <w:r w:rsidRPr="00360C7E">
        <w:rPr>
          <w:b/>
        </w:rPr>
        <w:t>10 mil. karetních transakcí</w:t>
      </w:r>
      <w:r>
        <w:t xml:space="preserve">, které tvoří </w:t>
      </w:r>
      <w:r w:rsidRPr="00360C7E">
        <w:rPr>
          <w:b/>
        </w:rPr>
        <w:t>roční obrat ve výši 3,7 mld. USD</w:t>
      </w:r>
      <w:r>
        <w:t xml:space="preserve">. </w:t>
      </w:r>
      <w:r w:rsidRPr="00D029E6">
        <w:t>Obchodníci přijímající kartu Octopu</w:t>
      </w:r>
      <w:r>
        <w:t>s platí percentuální poplatek z </w:t>
      </w:r>
      <w:r w:rsidRPr="00D029E6">
        <w:t>každé transakce a zároveň nesou náklady na připojení do infrastruktury</w:t>
      </w:r>
      <w:r>
        <w:t>.</w:t>
      </w:r>
      <w:r w:rsidRPr="00D029E6">
        <w:t xml:space="preserve"> </w:t>
      </w:r>
    </w:p>
    <w:p w:rsidR="003F063C" w:rsidRDefault="003F063C" w:rsidP="000B79AA">
      <w:r>
        <w:rPr>
          <w:noProof/>
          <w:lang w:eastAsia="cs-CZ"/>
        </w:rPr>
        <w:pict>
          <v:shape id="Picture 19" o:spid="_x0000_i1034" type="#_x0000_t75" style="width:483.75pt;height:146.25pt;visibility:visible">
            <v:imagedata r:id="rId23" o:title=""/>
          </v:shape>
        </w:pict>
      </w:r>
    </w:p>
    <w:p w:rsidR="003F063C" w:rsidRPr="00EB7C38" w:rsidRDefault="003F063C" w:rsidP="000B79AA">
      <w:pPr>
        <w:rPr>
          <w:b/>
        </w:rPr>
      </w:pPr>
      <w:r w:rsidRPr="00B500B3">
        <w:t xml:space="preserve">Karta nabízí </w:t>
      </w:r>
      <w:r w:rsidRPr="00EB7C38">
        <w:rPr>
          <w:b/>
        </w:rPr>
        <w:t>členství v rozsáhlém věrnostním programu</w:t>
      </w:r>
      <w:r w:rsidRPr="00B500B3">
        <w:t xml:space="preserve">, jeho benefity využívá přibližně </w:t>
      </w:r>
      <w:r w:rsidRPr="00EB7C38">
        <w:rPr>
          <w:b/>
        </w:rPr>
        <w:t>12 % držitelů karty.</w:t>
      </w:r>
      <w:r w:rsidRPr="00B500B3">
        <w:t xml:space="preserve"> Při registraci do věrnostního programu (</w:t>
      </w:r>
      <w:r>
        <w:t xml:space="preserve">které </w:t>
      </w:r>
      <w:r w:rsidRPr="00B500B3">
        <w:t xml:space="preserve">je zdarma) </w:t>
      </w:r>
      <w:r w:rsidRPr="00EB7C38">
        <w:rPr>
          <w:b/>
        </w:rPr>
        <w:t>poskytne uživatel provozovateli karty poměrně velké množství osobních informací</w:t>
      </w:r>
      <w:r w:rsidRPr="00B500B3">
        <w:t xml:space="preserve">, které </w:t>
      </w:r>
      <w:r>
        <w:t>může provozovatel karty následně využít</w:t>
      </w:r>
      <w:r w:rsidRPr="00B500B3">
        <w:t xml:space="preserve"> pro sledování chování svého kmene zákazníků. </w:t>
      </w:r>
      <w:r>
        <w:t xml:space="preserve">Tato </w:t>
      </w:r>
      <w:r w:rsidRPr="00EB7C38">
        <w:rPr>
          <w:b/>
        </w:rPr>
        <w:t>informační báze navíc představuje pro provozovatele cenné aktivum</w:t>
      </w:r>
      <w:r w:rsidRPr="00AF131A">
        <w:t xml:space="preserve"> velmi dobře využitelné pro monitoring nákupního chování zákazníků či </w:t>
      </w:r>
      <w:r>
        <w:t xml:space="preserve">řízení vztahů se zákazníky </w:t>
      </w:r>
      <w:r w:rsidRPr="000F66BD">
        <w:t xml:space="preserve">a </w:t>
      </w:r>
      <w:r w:rsidRPr="00EB7C38">
        <w:rPr>
          <w:b/>
        </w:rPr>
        <w:t>provozovatel má tedy možnost jej prodávat třetím stranám.</w:t>
      </w:r>
    </w:p>
    <w:p w:rsidR="003F063C" w:rsidRDefault="003F063C" w:rsidP="000B79AA">
      <w:r w:rsidRPr="00B500B3">
        <w:t xml:space="preserve">Karta je k dispozici ve </w:t>
      </w:r>
      <w:r>
        <w:t>třech</w:t>
      </w:r>
      <w:r w:rsidRPr="00B500B3">
        <w:t xml:space="preserve"> variantách</w:t>
      </w:r>
      <w:r>
        <w:t xml:space="preserve">. První z nich je </w:t>
      </w:r>
      <w:r w:rsidRPr="00F64F6C">
        <w:t>z</w:t>
      </w:r>
      <w:r w:rsidRPr="00EB7C38">
        <w:rPr>
          <w:b/>
        </w:rPr>
        <w:t>poplatněná karta se speciálním stylovým designem</w:t>
      </w:r>
      <w:r>
        <w:t xml:space="preserve"> </w:t>
      </w:r>
      <w:r w:rsidRPr="00B83BD9">
        <w:t>(má t</w:t>
      </w:r>
      <w:r>
        <w:t>var klasické karty či různých mó</w:t>
      </w:r>
      <w:r w:rsidRPr="00B83BD9">
        <w:t>dních přívěsků a dalších předmě</w:t>
      </w:r>
      <w:r>
        <w:t>t</w:t>
      </w:r>
      <w:r w:rsidRPr="00B83BD9">
        <w:t>ů)</w:t>
      </w:r>
      <w:r>
        <w:t xml:space="preserve">, která je propagována jako </w:t>
      </w:r>
      <w:r w:rsidRPr="00F64F6C">
        <w:t>módní doplněk</w:t>
      </w:r>
      <w:r w:rsidRPr="00F02851">
        <w:t xml:space="preserve">, má funkci </w:t>
      </w:r>
      <w:r w:rsidRPr="00EB7C38">
        <w:rPr>
          <w:b/>
        </w:rPr>
        <w:t>elektronické peněženky</w:t>
      </w:r>
      <w:r>
        <w:t xml:space="preserve"> a </w:t>
      </w:r>
      <w:r w:rsidRPr="00B500B3">
        <w:t>není vratná</w:t>
      </w:r>
      <w:r>
        <w:t xml:space="preserve"> (prodej probíhá kromě stanic metra také v síti retailových obchodů)</w:t>
      </w:r>
      <w:r w:rsidRPr="00B500B3">
        <w:t xml:space="preserve">. </w:t>
      </w:r>
    </w:p>
    <w:p w:rsidR="003F063C" w:rsidRDefault="003F063C" w:rsidP="000B79AA">
      <w:r>
        <w:t>Druhou z nich je</w:t>
      </w:r>
      <w:r w:rsidRPr="00F64F6C">
        <w:t xml:space="preserve"> </w:t>
      </w:r>
      <w:r w:rsidRPr="00EB7C38">
        <w:rPr>
          <w:b/>
        </w:rPr>
        <w:t>karta se základním designem vydávaná zadarmo</w:t>
      </w:r>
      <w:r>
        <w:t xml:space="preserve">, která je primárně </w:t>
      </w:r>
      <w:r w:rsidRPr="00EB7C38">
        <w:rPr>
          <w:b/>
        </w:rPr>
        <w:t>určena pro turisty</w:t>
      </w:r>
      <w:r>
        <w:t xml:space="preserve"> a </w:t>
      </w:r>
      <w:r w:rsidRPr="00F64F6C">
        <w:t>příležitostné uživatele</w:t>
      </w:r>
      <w:r>
        <w:t>. Tento typ karty je vratný.</w:t>
      </w:r>
    </w:p>
    <w:p w:rsidR="003F063C" w:rsidRDefault="003F063C" w:rsidP="000B79AA">
      <w:r>
        <w:t xml:space="preserve">Třetí typ karty je vydáván jako </w:t>
      </w:r>
      <w:r w:rsidRPr="00EB7C38">
        <w:rPr>
          <w:b/>
        </w:rPr>
        <w:t>kreditní nebo debetní karta bankou CitiBank</w:t>
      </w:r>
      <w:r w:rsidRPr="00B83BD9">
        <w:t xml:space="preserve"> </w:t>
      </w:r>
      <w:r>
        <w:t xml:space="preserve">s logem Octopus karty. </w:t>
      </w:r>
    </w:p>
    <w:p w:rsidR="003F063C" w:rsidRDefault="003F063C" w:rsidP="000B79AA">
      <w:r>
        <w:t xml:space="preserve">Studenti, děti a další uživatelé </w:t>
      </w:r>
      <w:r w:rsidRPr="00EB7C38">
        <w:rPr>
          <w:b/>
        </w:rPr>
        <w:t>s nárokem na zlevněné jízdné ve veřejné dopravě využívají personalizovanou Octopus kartu</w:t>
      </w:r>
      <w:r>
        <w:t>. Ostatní cestující mohou mít kartu bez osobních údajů.</w:t>
      </w:r>
    </w:p>
    <w:p w:rsidR="003F063C" w:rsidRDefault="003F063C" w:rsidP="000967D7">
      <w:r w:rsidRPr="00EB7C38">
        <w:rPr>
          <w:b/>
        </w:rPr>
        <w:t>Maximální částka</w:t>
      </w:r>
      <w:r>
        <w:t xml:space="preserve">, kterou lze uložit do aplikace elektronické peněženky je </w:t>
      </w:r>
      <w:r w:rsidRPr="00EB7C38">
        <w:rPr>
          <w:b/>
        </w:rPr>
        <w:t xml:space="preserve">1000 HKD </w:t>
      </w:r>
      <w:r>
        <w:t xml:space="preserve">(2400 Kč). Pokud stav účtu dosáhne  -35 HKD, karta se zablokuje. Dobíjení karet lze provést ve stanicích MHD (speciální dobíjecí automaty), přes autorizované partnery (prodejci, kteří kartu přijímají) a v zákaznických centrech. Kartu </w:t>
      </w:r>
      <w:r w:rsidRPr="00EB7C38">
        <w:rPr>
          <w:b/>
        </w:rPr>
        <w:t xml:space="preserve">lze propojit s účtem </w:t>
      </w:r>
      <w:r>
        <w:t xml:space="preserve">u některé z 22 partnerských finančních institucí (při poklesu kreditu na 0 HKD je na kartu automaticky z účtu převedeno 250 HKD, resp. 500 HKD). </w:t>
      </w:r>
    </w:p>
    <w:p w:rsidR="003F063C" w:rsidRDefault="003F063C" w:rsidP="000967D7">
      <w:pPr>
        <w:rPr>
          <w:snapToGrid w:val="0"/>
          <w:color w:val="000000"/>
          <w:w w:val="0"/>
          <w:sz w:val="2"/>
          <w:u w:color="000000"/>
          <w:bdr w:val="none" w:sz="0" w:space="0" w:color="000000"/>
        </w:rPr>
      </w:pPr>
      <w:r>
        <w:rPr>
          <w:noProof/>
          <w:lang w:eastAsia="cs-CZ"/>
        </w:rPr>
        <w:pict>
          <v:shape id="_x0000_i1035" type="#_x0000_t75" style="width:177.75pt;height:60.75pt;visibility:visible">
            <v:imagedata r:id="rId24" o:title=""/>
          </v:shape>
        </w:pict>
      </w:r>
      <w:r>
        <w:rPr>
          <w:noProof/>
          <w:lang w:eastAsia="cs-CZ"/>
        </w:rPr>
        <w:pict>
          <v:shape id="_x0000_i1036" type="#_x0000_t75" style="width:168pt;height:60.75pt;visibility:visible">
            <v:imagedata r:id="rId25" o:title=""/>
          </v:shape>
        </w:pict>
      </w:r>
      <w:r w:rsidRPr="009104EE">
        <w:rPr>
          <w:noProof/>
          <w:color w:val="000000"/>
          <w:w w:val="0"/>
          <w:sz w:val="2"/>
          <w:u w:color="000000"/>
          <w:bdr w:val="none" w:sz="0" w:space="0" w:color="000000"/>
          <w:lang w:eastAsia="cs-CZ"/>
        </w:rPr>
        <w:pict>
          <v:shape id="Picture 6" o:spid="_x0000_i1037" type="#_x0000_t75" style="width:160.5pt;height:60.75pt;visibility:visible">
            <v:imagedata r:id="rId26" o:title=""/>
          </v:shape>
        </w:pict>
      </w:r>
    </w:p>
    <w:p w:rsidR="003F063C" w:rsidRDefault="003F063C" w:rsidP="000967D7">
      <w:r>
        <w:t>Kromě plateb za veřejnou dopravu (přes Octopus kartu řádově o 10 % levnější než při platbě v hotovosti) lze kartou platit u více než 1000 partnerských poskytovatelů služeb (</w:t>
      </w:r>
      <w:r w:rsidRPr="00EB7C38">
        <w:rPr>
          <w:b/>
        </w:rPr>
        <w:t>v obchodech a s</w:t>
      </w:r>
      <w:r>
        <w:rPr>
          <w:b/>
        </w:rPr>
        <w:t>upermarketech, v restauracích s </w:t>
      </w:r>
      <w:r w:rsidRPr="00EB7C38">
        <w:rPr>
          <w:b/>
        </w:rPr>
        <w:t>rychlým občerstvením, ve veřejných automatech na nápoje a občerstvení, telefony, fotokabinky</w:t>
      </w:r>
      <w:r>
        <w:t xml:space="preserve">). </w:t>
      </w:r>
    </w:p>
    <w:p w:rsidR="003F063C" w:rsidRDefault="003F063C" w:rsidP="000B79AA">
      <w:r>
        <w:t xml:space="preserve">Karta je zároveň </w:t>
      </w:r>
      <w:r w:rsidRPr="00EB7C38">
        <w:rPr>
          <w:b/>
        </w:rPr>
        <w:t>masově využívána pro identifikaci v přístupových systémech</w:t>
      </w:r>
      <w:r w:rsidRPr="00AF131A">
        <w:t xml:space="preserve"> </w:t>
      </w:r>
      <w:r>
        <w:t>řady škol. Vedle komerčního využití u </w:t>
      </w:r>
      <w:r w:rsidRPr="00D0588A">
        <w:t xml:space="preserve">obchodníků </w:t>
      </w:r>
      <w:r w:rsidRPr="00EB7C38">
        <w:rPr>
          <w:b/>
        </w:rPr>
        <w:t>představuje identifikace druhou klíčovou oblast generující rostoucí výnosy</w:t>
      </w:r>
      <w:r>
        <w:t>. Ve školách karta slouží jako nástroj pro kontrolu docházky studentů, identifikaci v knihovnách i studentské platby. Kromě škol je karta využívána i jako vstupní klíč do firemních budov, kanceláří a bytů a pro rezervování vstupenek na kulturní a sportovní akce.</w:t>
      </w:r>
    </w:p>
    <w:p w:rsidR="003F063C" w:rsidRDefault="003F063C" w:rsidP="000B79AA">
      <w:pPr>
        <w:pStyle w:val="Heading3"/>
        <w:numPr>
          <w:ilvl w:val="0"/>
          <w:numId w:val="0"/>
        </w:numPr>
      </w:pPr>
      <w:r>
        <w:t>Oyster Card (Londýn)</w:t>
      </w:r>
    </w:p>
    <w:p w:rsidR="003F063C" w:rsidRPr="00B1719B" w:rsidRDefault="003F063C" w:rsidP="000B79AA">
      <w:r>
        <w:t>Oyster Card je č</w:t>
      </w:r>
      <w:r w:rsidRPr="00B1719B">
        <w:t xml:space="preserve">ipová karta proprietárního standardu zavedená </w:t>
      </w:r>
      <w:r>
        <w:t>společností Transport for London (</w:t>
      </w:r>
      <w:r w:rsidRPr="00B1719B">
        <w:t>TfL</w:t>
      </w:r>
      <w:r>
        <w:t>)</w:t>
      </w:r>
      <w:r w:rsidRPr="00B1719B">
        <w:t xml:space="preserve"> jako klíčové médium pro odbavení cestujících </w:t>
      </w:r>
      <w:r>
        <w:t>v londýnské MHD v červenci 2003. Je</w:t>
      </w:r>
      <w:r w:rsidRPr="00B1719B">
        <w:t xml:space="preserve"> využívána v metru (systém uzavřený turnikety), autobusech, tramvajích, </w:t>
      </w:r>
      <w:r>
        <w:t>„lehkém metru“</w:t>
      </w:r>
      <w:r w:rsidRPr="00B1719B">
        <w:t xml:space="preserve"> (Docklands Light Railway) a některých želez</w:t>
      </w:r>
      <w:r>
        <w:t xml:space="preserve">ničních tratích (National Rail). </w:t>
      </w:r>
      <w:r w:rsidRPr="00B1719B">
        <w:t>Kartu dnes využívá více než 10 m</w:t>
      </w:r>
      <w:r>
        <w:t>ilionů zákazníků.</w:t>
      </w:r>
    </w:p>
    <w:p w:rsidR="003F063C" w:rsidRDefault="003F063C" w:rsidP="000B79AA">
      <w:r w:rsidRPr="00B1719B">
        <w:t>Systém až doposud provozovala společnost TranSys jako třetí strana</w:t>
      </w:r>
      <w:r>
        <w:t xml:space="preserve"> (integrátor, operátor systému).</w:t>
      </w:r>
    </w:p>
    <w:p w:rsidR="003F063C" w:rsidRDefault="003F063C" w:rsidP="000B79AA">
      <w:r w:rsidRPr="00B1719B">
        <w:t>Na bezkontaktní médium je možno na</w:t>
      </w:r>
      <w:r>
        <w:t xml:space="preserve">hrát </w:t>
      </w:r>
      <w:r w:rsidRPr="001C56A1">
        <w:rPr>
          <w:b/>
        </w:rPr>
        <w:t>jednotlivé i časové jízdné</w:t>
      </w:r>
      <w:r w:rsidRPr="00B1719B">
        <w:t xml:space="preserve"> </w:t>
      </w:r>
      <w:r>
        <w:t>a v</w:t>
      </w:r>
      <w:r w:rsidRPr="00B1719B">
        <w:t>íce než 80 % jízd v londýnské MHD je rea</w:t>
      </w:r>
      <w:r>
        <w:t xml:space="preserve">lizováno s využitím Oyster Card. </w:t>
      </w:r>
      <w:r w:rsidRPr="00B1719B">
        <w:t>Kartu je možno dobí</w:t>
      </w:r>
      <w:r>
        <w:t>je</w:t>
      </w:r>
      <w:r w:rsidRPr="00B1719B">
        <w:t xml:space="preserve">t na </w:t>
      </w:r>
      <w:r w:rsidRPr="001C56A1">
        <w:rPr>
          <w:b/>
        </w:rPr>
        <w:t>prodejních místech</w:t>
      </w:r>
      <w:r w:rsidRPr="00B1719B">
        <w:t xml:space="preserve">, </w:t>
      </w:r>
      <w:r w:rsidRPr="001C56A1">
        <w:rPr>
          <w:b/>
        </w:rPr>
        <w:t>prostřednictvím inkasa</w:t>
      </w:r>
      <w:r>
        <w:t xml:space="preserve"> nebo </w:t>
      </w:r>
      <w:r>
        <w:rPr>
          <w:b/>
        </w:rPr>
        <w:t>on-line z </w:t>
      </w:r>
      <w:r w:rsidRPr="001C56A1">
        <w:rPr>
          <w:b/>
        </w:rPr>
        <w:t>bankovního účtu</w:t>
      </w:r>
      <w:r>
        <w:t>.</w:t>
      </w:r>
    </w:p>
    <w:p w:rsidR="003F063C" w:rsidRPr="00B1719B" w:rsidRDefault="003F063C" w:rsidP="000B79AA">
      <w:r w:rsidRPr="00B1719B">
        <w:t xml:space="preserve">V září 2007 TfL </w:t>
      </w:r>
      <w:r w:rsidRPr="001F385B">
        <w:rPr>
          <w:b/>
        </w:rPr>
        <w:t xml:space="preserve">ve spolupráci s bankou Barclays </w:t>
      </w:r>
      <w:r w:rsidRPr="00B1719B">
        <w:t xml:space="preserve">nabídla </w:t>
      </w:r>
      <w:r>
        <w:rPr>
          <w:b/>
        </w:rPr>
        <w:t>Oyster Card s </w:t>
      </w:r>
      <w:r w:rsidRPr="001F385B">
        <w:rPr>
          <w:b/>
        </w:rPr>
        <w:t>funkcionalitou kreditní karty</w:t>
      </w:r>
      <w:r>
        <w:t xml:space="preserve"> na standardu Visa PayWave.</w:t>
      </w:r>
    </w:p>
    <w:p w:rsidR="003F063C" w:rsidRPr="00CE6E48" w:rsidRDefault="003F063C" w:rsidP="000B79AA">
      <w:pPr>
        <w:rPr>
          <w:szCs w:val="19"/>
        </w:rPr>
      </w:pPr>
      <w:r>
        <w:rPr>
          <w:noProof/>
          <w:lang w:eastAsia="cs-CZ"/>
        </w:rPr>
        <w:pict>
          <v:shape id="Picture 10" o:spid="_x0000_s1028" type="#_x0000_t75" style="position:absolute;left:0;text-align:left;margin-left:1060pt;margin-top:0;width:172.5pt;height:108.75pt;z-index:251656704;visibility:visible;mso-position-horizontal:right;mso-position-horizontal-relative:margin;mso-position-vertical:center;mso-position-vertical-relative:margin">
            <v:imagedata r:id="rId27" o:title=""/>
            <w10:wrap type="square" anchorx="margin" anchory="margin"/>
          </v:shape>
        </w:pict>
      </w:r>
      <w:r w:rsidRPr="00CE6E48">
        <w:rPr>
          <w:szCs w:val="19"/>
        </w:rPr>
        <w:t xml:space="preserve">Maximální kredit na kartě je 90 GBP (2700 Kč) a </w:t>
      </w:r>
      <w:r w:rsidRPr="00CE6E48">
        <w:rPr>
          <w:b/>
          <w:szCs w:val="19"/>
        </w:rPr>
        <w:t>dobít lze na prodejních místech v metru</w:t>
      </w:r>
      <w:r w:rsidRPr="00CE6E48">
        <w:rPr>
          <w:szCs w:val="19"/>
        </w:rPr>
        <w:t xml:space="preserve">, </w:t>
      </w:r>
      <w:r w:rsidRPr="00CE6E48">
        <w:rPr>
          <w:b/>
          <w:szCs w:val="19"/>
        </w:rPr>
        <w:t>v automatech na jízdenky, po telefonu či přes internet</w:t>
      </w:r>
      <w:r w:rsidRPr="00CE6E48">
        <w:rPr>
          <w:szCs w:val="19"/>
        </w:rPr>
        <w:t xml:space="preserve">. Oyster kartu lze propojit s účtem u některé z partnerských finančních institucí, ze kterého se automaticky převede 20 GBP (600 Kč) resp. 40 GBP (1200 Kč), pokud kredit klesne na 5 GBP (150 Kč). Při použití Oyster karty jsou ceny jízdného o 35-50 % levnější než při platbě v hotovosti. K dispozici jsou i kombinované dvojčipové karty, které obsahují bezkontaktní čip (Oyster) a kontaktní čip (kreditní/platební karta od společností Barclays či American Express). </w:t>
      </w:r>
    </w:p>
    <w:p w:rsidR="003F063C" w:rsidRDefault="003F063C" w:rsidP="000B79AA">
      <w:pPr>
        <w:rPr>
          <w:szCs w:val="19"/>
        </w:rPr>
      </w:pPr>
      <w:r w:rsidRPr="00CE6E48">
        <w:rPr>
          <w:szCs w:val="19"/>
        </w:rPr>
        <w:t xml:space="preserve">Kartu lze objednat přes internet, ale plně registrovat (personifikovat) lze pouze osobně ve stanicích metra, ve speciálních střediscích a v Centech dopravních informací (dohromady více než 2300 míst). </w:t>
      </w:r>
    </w:p>
    <w:p w:rsidR="003F063C" w:rsidRPr="0013605E" w:rsidRDefault="003F063C" w:rsidP="000B79AA">
      <w:pPr>
        <w:rPr>
          <w:b/>
          <w:szCs w:val="19"/>
        </w:rPr>
      </w:pPr>
      <w:r w:rsidRPr="0013605E">
        <w:rPr>
          <w:b/>
          <w:szCs w:val="19"/>
        </w:rPr>
        <w:t>Na kartu není napojen věrnostní program.</w:t>
      </w:r>
    </w:p>
    <w:p w:rsidR="003F063C" w:rsidRPr="00CE6E48" w:rsidRDefault="003F063C" w:rsidP="000B79AA">
      <w:pPr>
        <w:rPr>
          <w:szCs w:val="19"/>
        </w:rPr>
      </w:pPr>
      <w:r w:rsidRPr="00CE6E48">
        <w:rPr>
          <w:szCs w:val="19"/>
        </w:rPr>
        <w:t>Pro turisty existuje karta The London Pass, která však není kompatibilní s Oyster kartou. Karta obsahuje volné vstupy do více než 55 památek, přičemž každou lze navštívit pouze jednou (do dalších památek karta poskytuje slevu ze vstupného), a volitelně i dopravní kupón na jeden, resp. tři dny. Dále lze na kartu získat slevy u více než 50 partnerských subjektů. Cena jednodenní karty činí 34,20 GBP (1000 Kč) bez dopravy a 38,70 GBP (1200 Kč) s dopravou, třídenní pak 54 GBP (1600 Kč) resp. 71,10 GBP (2100 Kč). Kartu s dopravním kupónem lze objednat přes internet a nechat si ji poslat poštou nebo vyzvednout osobně v distribučním centru. Karty bez dopravního kupónu jsou k dostání navíc i v síti retailových obchod</w:t>
      </w:r>
      <w:r>
        <w:rPr>
          <w:szCs w:val="19"/>
        </w:rPr>
        <w:t>níků v </w:t>
      </w:r>
      <w:r w:rsidRPr="00CE6E48">
        <w:rPr>
          <w:szCs w:val="19"/>
        </w:rPr>
        <w:t>Londýně (řádově desítky).</w:t>
      </w:r>
    </w:p>
    <w:p w:rsidR="003F063C" w:rsidRDefault="003F063C" w:rsidP="000B79AA">
      <w:pPr>
        <w:pStyle w:val="Heading3"/>
        <w:numPr>
          <w:ilvl w:val="0"/>
          <w:numId w:val="0"/>
        </w:numPr>
      </w:pPr>
      <w:r>
        <w:t>Opuscard (Liberec)</w:t>
      </w:r>
    </w:p>
    <w:p w:rsidR="003F063C" w:rsidRDefault="003F063C" w:rsidP="000B79AA">
      <w:r>
        <w:t>Karta opuscard je bezkontaktní čipová karta, která je určena k využití především ve veřejné dopravě, v přístupových systémech a jako elektronický identifikační doklad. Karta navazuje na dopravní kartu ČSAD a Libereckou městskou kartu. Vydavatelem karty opuscard je na základě mandátu Libereckého kraje společnost Liberecká IS, a.s, jejímž jediným akcionářem je Statutární město Liberec.</w:t>
      </w:r>
    </w:p>
    <w:p w:rsidR="003F063C" w:rsidRDefault="003F063C" w:rsidP="000B79AA">
      <w:r>
        <w:t xml:space="preserve">Ve veřejné dopravě funguje jako nosič </w:t>
      </w:r>
      <w:r w:rsidRPr="006557D7">
        <w:rPr>
          <w:b/>
        </w:rPr>
        <w:t>jednotliv</w:t>
      </w:r>
      <w:r>
        <w:rPr>
          <w:b/>
        </w:rPr>
        <w:t>ých elektronických</w:t>
      </w:r>
      <w:r w:rsidRPr="006557D7">
        <w:rPr>
          <w:b/>
        </w:rPr>
        <w:t xml:space="preserve"> jízden</w:t>
      </w:r>
      <w:r>
        <w:rPr>
          <w:b/>
        </w:rPr>
        <w:t>ek</w:t>
      </w:r>
      <w:r>
        <w:t xml:space="preserve"> </w:t>
      </w:r>
      <w:r w:rsidRPr="006557D7">
        <w:rPr>
          <w:b/>
        </w:rPr>
        <w:t>i časov</w:t>
      </w:r>
      <w:r>
        <w:rPr>
          <w:b/>
        </w:rPr>
        <w:t>ých kupónů</w:t>
      </w:r>
      <w:r>
        <w:t>.</w:t>
      </w:r>
    </w:p>
    <w:p w:rsidR="003F063C" w:rsidRDefault="003F063C" w:rsidP="000B79AA">
      <w:r>
        <w:t xml:space="preserve">V Liberci lze kartu využít kromě MHD jako čtenářský průkaz Krajské vědecké knihovny. Dále si její držitelé mohou na internetovém portálu </w:t>
      </w:r>
      <w:r w:rsidRPr="00EB0EFA">
        <w:rPr>
          <w:b/>
        </w:rPr>
        <w:t>rezervovat vstupenky</w:t>
      </w:r>
      <w:r>
        <w:t xml:space="preserve"> na kulturní akce pořádané v Liberci a Jablonci nad Nisou. Rezervované vstupenky lze vyzvednout v síti prodejních míst opuscard nebo před představením v místě konání.</w:t>
      </w:r>
      <w:r w:rsidRPr="00315417">
        <w:t xml:space="preserve"> </w:t>
      </w:r>
    </w:p>
    <w:p w:rsidR="003F063C" w:rsidRDefault="003F063C" w:rsidP="000B79AA">
      <w:r>
        <w:t xml:space="preserve">Držitelé karty mohou </w:t>
      </w:r>
      <w:r w:rsidRPr="00AF7C12">
        <w:rPr>
          <w:b/>
        </w:rPr>
        <w:t>využívat slev v systému BENEFIT Program</w:t>
      </w:r>
      <w:r>
        <w:t xml:space="preserve">, jehož správcem je třetí strana, </w:t>
      </w:r>
      <w:r w:rsidRPr="00315417">
        <w:rPr>
          <w:rStyle w:val="Strong"/>
          <w:b w:val="0"/>
        </w:rPr>
        <w:t>společnost COMPEDIUM, s.r.o.</w:t>
      </w:r>
      <w:r w:rsidRPr="00315417">
        <w:t xml:space="preserve"> </w:t>
      </w:r>
      <w:r>
        <w:t xml:space="preserve">Program poskytuje širokou </w:t>
      </w:r>
      <w:r w:rsidRPr="00EB0EFA">
        <w:rPr>
          <w:b/>
        </w:rPr>
        <w:t>řadu výhod a slev dostupných v rozsáhlé síti obchodů, sportovních areálů a kulturních institucí</w:t>
      </w:r>
      <w:r>
        <w:t>, a to nejen pro držitele opuscard, ale i tří dalších karet.</w:t>
      </w:r>
    </w:p>
    <w:p w:rsidR="003F063C" w:rsidRPr="0041747F" w:rsidRDefault="003F063C" w:rsidP="000B79AA">
      <w:r>
        <w:t xml:space="preserve">Karta je </w:t>
      </w:r>
      <w:r w:rsidRPr="00EB0EFA">
        <w:rPr>
          <w:b/>
        </w:rPr>
        <w:t>pouze personalizovaná</w:t>
      </w:r>
      <w:r>
        <w:t xml:space="preserve"> a její </w:t>
      </w:r>
      <w:r w:rsidRPr="00EB0EFA">
        <w:rPr>
          <w:b/>
        </w:rPr>
        <w:t>vydání je zpoplatněno.</w:t>
      </w:r>
      <w:r>
        <w:rPr>
          <w:b/>
        </w:rPr>
        <w:t xml:space="preserve"> </w:t>
      </w:r>
      <w:r w:rsidRPr="0013605E">
        <w:t xml:space="preserve">Vydání </w:t>
      </w:r>
      <w:r>
        <w:t xml:space="preserve">a výměna karty </w:t>
      </w:r>
      <w:r w:rsidRPr="0013605E">
        <w:t xml:space="preserve">stojí </w:t>
      </w:r>
      <w:r>
        <w:t>140 Kč a průměrná sleva poskytovaná držitelům karty činí přibližně 10 %.</w:t>
      </w:r>
    </w:p>
    <w:p w:rsidR="003F063C" w:rsidRDefault="003F063C" w:rsidP="000B79AA">
      <w:pPr>
        <w:pStyle w:val="Heading3"/>
        <w:numPr>
          <w:ilvl w:val="0"/>
          <w:numId w:val="0"/>
        </w:numPr>
      </w:pPr>
      <w:r>
        <w:t>M – karta (Plzeň)</w:t>
      </w:r>
    </w:p>
    <w:p w:rsidR="003F063C" w:rsidRDefault="003F063C" w:rsidP="000B79AA">
      <w:r w:rsidRPr="00B5764E">
        <w:t xml:space="preserve">Městská multifunkční čipová karta </w:t>
      </w:r>
      <w:r>
        <w:t xml:space="preserve">(M – karta) je využívána občany a návštěvníky v rámci města Plzně a jeho spádových oblastí. Karta umožňuje </w:t>
      </w:r>
      <w:r w:rsidRPr="00F021E0">
        <w:rPr>
          <w:b/>
        </w:rPr>
        <w:t>úhradu drobných výdajů</w:t>
      </w:r>
      <w:r>
        <w:t xml:space="preserve"> prostřednictvím elektronické peněženky, funguje jako </w:t>
      </w:r>
      <w:r w:rsidRPr="00F021E0">
        <w:rPr>
          <w:b/>
        </w:rPr>
        <w:t xml:space="preserve">nosič jízdného </w:t>
      </w:r>
      <w:r>
        <w:rPr>
          <w:b/>
        </w:rPr>
        <w:t>v </w:t>
      </w:r>
      <w:r w:rsidRPr="00F021E0">
        <w:rPr>
          <w:b/>
        </w:rPr>
        <w:t xml:space="preserve">městské </w:t>
      </w:r>
      <w:r>
        <w:rPr>
          <w:b/>
        </w:rPr>
        <w:t>hromadné</w:t>
      </w:r>
      <w:r w:rsidRPr="00F021E0">
        <w:rPr>
          <w:b/>
        </w:rPr>
        <w:t xml:space="preserve"> doprav</w:t>
      </w:r>
      <w:r>
        <w:rPr>
          <w:b/>
        </w:rPr>
        <w:t>ě</w:t>
      </w:r>
      <w:r>
        <w:t>, prostředek pro rezervaci kulturních akcí a </w:t>
      </w:r>
      <w:r w:rsidRPr="00F021E0">
        <w:rPr>
          <w:b/>
        </w:rPr>
        <w:t>id</w:t>
      </w:r>
      <w:r>
        <w:rPr>
          <w:b/>
        </w:rPr>
        <w:t>entifikaci a </w:t>
      </w:r>
      <w:r w:rsidRPr="00F021E0">
        <w:rPr>
          <w:b/>
        </w:rPr>
        <w:t>autentizaci</w:t>
      </w:r>
      <w:r w:rsidRPr="00FC1B08">
        <w:t xml:space="preserve"> </w:t>
      </w:r>
      <w:r>
        <w:t xml:space="preserve">(karta nese osobní identifikační údaje držitele). </w:t>
      </w:r>
    </w:p>
    <w:p w:rsidR="003F063C" w:rsidRDefault="003F063C" w:rsidP="000B79AA">
      <w:r>
        <w:t xml:space="preserve">Karta dále nabízí svým držitelům možnost zapojení do </w:t>
      </w:r>
      <w:r w:rsidRPr="00F021E0">
        <w:rPr>
          <w:b/>
        </w:rPr>
        <w:t>věrnostního programu</w:t>
      </w:r>
      <w:r>
        <w:t xml:space="preserve">, který umožňuje čerpat slevy a další výhody u </w:t>
      </w:r>
      <w:r w:rsidRPr="00CF5EFD">
        <w:rPr>
          <w:b/>
        </w:rPr>
        <w:t>26 obchodních partnerů</w:t>
      </w:r>
      <w:r>
        <w:t>.</w:t>
      </w:r>
    </w:p>
    <w:p w:rsidR="003F063C" w:rsidRPr="00F3455D" w:rsidRDefault="003F063C" w:rsidP="000B79AA">
      <w:r>
        <w:t>Karta byla uvedena do aktivního provozu v roce</w:t>
      </w:r>
      <w:r w:rsidRPr="00B5764E">
        <w:t xml:space="preserve"> 2004</w:t>
      </w:r>
      <w:r>
        <w:t xml:space="preserve"> a garantem projektu je společnost </w:t>
      </w:r>
      <w:r w:rsidRPr="00F021E0">
        <w:t xml:space="preserve">Plzeňské </w:t>
      </w:r>
      <w:r>
        <w:t xml:space="preserve">městské dopravní podniky, a. s. </w:t>
      </w:r>
      <w:r w:rsidRPr="00F3455D">
        <w:rPr>
          <w:b/>
        </w:rPr>
        <w:t>Provozovatel karty</w:t>
      </w:r>
      <w:r w:rsidRPr="00F3455D">
        <w:t xml:space="preserve"> je </w:t>
      </w:r>
      <w:r w:rsidRPr="00F3455D">
        <w:rPr>
          <w:b/>
        </w:rPr>
        <w:t xml:space="preserve">příjemcem kreditního úroku </w:t>
      </w:r>
      <w:r w:rsidRPr="00F3455D">
        <w:t xml:space="preserve">na vypořádacím účtu, na který je hrazena hotovost za dobíjení karet v rámci elektronické peněženky. Z účtu jsou vypláceny prostředky za jednotlivé úhrady související s provozem karty. </w:t>
      </w:r>
    </w:p>
    <w:p w:rsidR="003F063C" w:rsidRPr="005533CC" w:rsidRDefault="003F063C" w:rsidP="000B79AA">
      <w:r>
        <w:t xml:space="preserve">Data, která provozovatel získá </w:t>
      </w:r>
      <w:r w:rsidRPr="005533CC">
        <w:t>o</w:t>
      </w:r>
      <w:r>
        <w:t xml:space="preserve"> chování kmene držitelů karty,</w:t>
      </w:r>
      <w:r w:rsidRPr="005533CC">
        <w:t xml:space="preserve"> </w:t>
      </w:r>
      <w:r>
        <w:t xml:space="preserve">umožňují </w:t>
      </w:r>
      <w:r w:rsidRPr="005533CC">
        <w:rPr>
          <w:b/>
        </w:rPr>
        <w:t>predik</w:t>
      </w:r>
      <w:r>
        <w:rPr>
          <w:b/>
        </w:rPr>
        <w:t>ovat</w:t>
      </w:r>
      <w:r w:rsidRPr="005533CC">
        <w:rPr>
          <w:b/>
        </w:rPr>
        <w:t xml:space="preserve"> potřeb</w:t>
      </w:r>
      <w:r>
        <w:rPr>
          <w:b/>
        </w:rPr>
        <w:t>y</w:t>
      </w:r>
      <w:r w:rsidRPr="005533CC">
        <w:rPr>
          <w:b/>
        </w:rPr>
        <w:t xml:space="preserve"> občanů</w:t>
      </w:r>
      <w:r w:rsidRPr="005533CC">
        <w:t xml:space="preserve">, </w:t>
      </w:r>
      <w:r>
        <w:t xml:space="preserve">mít </w:t>
      </w:r>
      <w:r w:rsidRPr="005533CC">
        <w:t>lepší přehled o využívání služeb a v</w:t>
      </w:r>
      <w:r>
        <w:t> neposlední řadě jsou využitelná</w:t>
      </w:r>
      <w:r w:rsidRPr="005533CC">
        <w:t xml:space="preserve"> k marketingovým účelům.</w:t>
      </w:r>
    </w:p>
    <w:p w:rsidR="003F063C" w:rsidRDefault="003F063C" w:rsidP="000B79AA">
      <w:pPr>
        <w:rPr>
          <w:lang w:eastAsia="cs-CZ"/>
        </w:rPr>
      </w:pPr>
      <w:r>
        <w:rPr>
          <w:lang w:eastAsia="cs-CZ"/>
        </w:rPr>
        <w:t xml:space="preserve">K dispozici je několik variant karet a všechny jsou </w:t>
      </w:r>
      <w:r w:rsidRPr="00D67E3D">
        <w:rPr>
          <w:lang w:eastAsia="cs-CZ"/>
        </w:rPr>
        <w:t>zpoplatněn</w:t>
      </w:r>
      <w:r>
        <w:rPr>
          <w:lang w:eastAsia="cs-CZ"/>
        </w:rPr>
        <w:t>y, jak zobrazuje následující tabulka:</w:t>
      </w:r>
    </w:p>
    <w:p w:rsidR="003F063C" w:rsidRDefault="003F063C" w:rsidP="000B79AA">
      <w:pPr>
        <w:pStyle w:val="Bodytext"/>
        <w:rPr>
          <w:rFonts w:ascii="Times New Roman" w:hAnsi="Times New Roman"/>
          <w:color w:val="auto"/>
          <w:sz w:val="22"/>
          <w:szCs w:val="22"/>
          <w:lang w:eastAsia="cs-CZ"/>
        </w:rPr>
      </w:pPr>
    </w:p>
    <w:tbl>
      <w:tblPr>
        <w:tblW w:w="4911" w:type="pct"/>
        <w:tblInd w:w="108" w:type="dxa"/>
        <w:tblBorders>
          <w:insideH w:val="single" w:sz="2" w:space="0" w:color="808080"/>
          <w:insideV w:val="single" w:sz="2" w:space="0" w:color="808080"/>
        </w:tblBorders>
        <w:tblLook w:val="00A0"/>
      </w:tblPr>
      <w:tblGrid>
        <w:gridCol w:w="6052"/>
        <w:gridCol w:w="4440"/>
      </w:tblGrid>
      <w:tr w:rsidR="003F063C" w:rsidRPr="000B7A4F">
        <w:trPr>
          <w:trHeight w:val="320"/>
        </w:trPr>
        <w:tc>
          <w:tcPr>
            <w:tcW w:w="2884" w:type="pct"/>
            <w:tcBorders>
              <w:top w:val="nil"/>
              <w:right w:val="single" w:sz="2" w:space="0" w:color="FFFFFF"/>
            </w:tcBorders>
            <w:shd w:val="clear" w:color="auto" w:fill="76923C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b/>
                <w:color w:val="FFFFFF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b/>
                <w:color w:val="FFFFFF"/>
                <w:sz w:val="16"/>
                <w:szCs w:val="16"/>
                <w:lang w:eastAsia="cs-CZ"/>
              </w:rPr>
              <w:t>Typ karty</w:t>
            </w:r>
          </w:p>
        </w:tc>
        <w:tc>
          <w:tcPr>
            <w:tcW w:w="2116" w:type="pct"/>
            <w:tcBorders>
              <w:top w:val="nil"/>
              <w:left w:val="single" w:sz="2" w:space="0" w:color="FFFFFF"/>
            </w:tcBorders>
            <w:shd w:val="clear" w:color="auto" w:fill="76923C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b/>
                <w:color w:val="FFFFFF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b/>
                <w:color w:val="FFFFFF"/>
                <w:sz w:val="16"/>
                <w:szCs w:val="16"/>
                <w:lang w:eastAsia="cs-CZ"/>
              </w:rPr>
              <w:t>Cena</w:t>
            </w:r>
          </w:p>
        </w:tc>
      </w:tr>
      <w:tr w:rsidR="003F063C" w:rsidRPr="000B7A4F">
        <w:trPr>
          <w:trHeight w:val="268"/>
        </w:trPr>
        <w:tc>
          <w:tcPr>
            <w:tcW w:w="2884" w:type="pct"/>
            <w:shd w:val="clear" w:color="auto" w:fill="F2F2F2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color w:val="auto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 xml:space="preserve">Plzeňská karta ISIC </w:t>
            </w:r>
          </w:p>
        </w:tc>
        <w:tc>
          <w:tcPr>
            <w:tcW w:w="2116" w:type="pct"/>
            <w:shd w:val="clear" w:color="auto" w:fill="F2F2F2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color w:val="auto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>300 Kč</w:t>
            </w:r>
          </w:p>
        </w:tc>
      </w:tr>
      <w:tr w:rsidR="003F063C" w:rsidRPr="000B7A4F">
        <w:trPr>
          <w:trHeight w:val="272"/>
        </w:trPr>
        <w:tc>
          <w:tcPr>
            <w:tcW w:w="2884" w:type="pct"/>
            <w:shd w:val="clear" w:color="auto" w:fill="F2F2F2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color w:val="auto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>Plzeňská karta</w:t>
            </w:r>
          </w:p>
        </w:tc>
        <w:tc>
          <w:tcPr>
            <w:tcW w:w="2116" w:type="pct"/>
            <w:shd w:val="clear" w:color="auto" w:fill="F2F2F2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color w:val="auto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>170 Kč</w:t>
            </w:r>
          </w:p>
        </w:tc>
      </w:tr>
      <w:tr w:rsidR="003F063C" w:rsidRPr="000B7A4F">
        <w:trPr>
          <w:trHeight w:val="276"/>
        </w:trPr>
        <w:tc>
          <w:tcPr>
            <w:tcW w:w="2884" w:type="pct"/>
            <w:shd w:val="clear" w:color="auto" w:fill="F2F2F2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color w:val="auto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>Firemní plzeňská karta</w:t>
            </w:r>
          </w:p>
        </w:tc>
        <w:tc>
          <w:tcPr>
            <w:tcW w:w="2116" w:type="pct"/>
            <w:shd w:val="clear" w:color="auto" w:fill="F2F2F2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color w:val="auto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>170 Kč</w:t>
            </w:r>
          </w:p>
        </w:tc>
      </w:tr>
      <w:tr w:rsidR="003F063C" w:rsidRPr="000B7A4F">
        <w:trPr>
          <w:trHeight w:val="266"/>
        </w:trPr>
        <w:tc>
          <w:tcPr>
            <w:tcW w:w="2884" w:type="pct"/>
            <w:shd w:val="clear" w:color="auto" w:fill="F2F2F2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color w:val="auto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>Plzeňská jízdenka</w:t>
            </w:r>
          </w:p>
        </w:tc>
        <w:tc>
          <w:tcPr>
            <w:tcW w:w="2116" w:type="pct"/>
            <w:shd w:val="clear" w:color="auto" w:fill="F2F2F2"/>
            <w:vAlign w:val="center"/>
          </w:tcPr>
          <w:p w:rsidR="003F063C" w:rsidRPr="000B7A4F" w:rsidRDefault="003F063C" w:rsidP="000B79AA">
            <w:pPr>
              <w:pStyle w:val="Bodytext"/>
              <w:rPr>
                <w:rFonts w:cs="Arial"/>
                <w:color w:val="auto"/>
                <w:sz w:val="16"/>
                <w:szCs w:val="16"/>
                <w:lang w:eastAsia="cs-CZ"/>
              </w:rPr>
            </w:pP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 xml:space="preserve">200 až 600 Kč v závislosti na hodnotě </w:t>
            </w:r>
            <w:r>
              <w:rPr>
                <w:rFonts w:cs="Arial"/>
                <w:color w:val="auto"/>
                <w:sz w:val="16"/>
                <w:szCs w:val="16"/>
                <w:lang w:eastAsia="cs-CZ"/>
              </w:rPr>
              <w:t>vložené</w:t>
            </w:r>
            <w:r w:rsidRPr="000B7A4F">
              <w:rPr>
                <w:rFonts w:cs="Arial"/>
                <w:color w:val="auto"/>
                <w:sz w:val="16"/>
                <w:szCs w:val="16"/>
                <w:lang w:eastAsia="cs-CZ"/>
              </w:rPr>
              <w:t xml:space="preserve"> hotovosti</w:t>
            </w:r>
          </w:p>
        </w:tc>
      </w:tr>
    </w:tbl>
    <w:p w:rsidR="003F063C" w:rsidRDefault="003F063C" w:rsidP="000B79AA">
      <w:pPr>
        <w:pStyle w:val="Heading3"/>
        <w:numPr>
          <w:ilvl w:val="0"/>
          <w:numId w:val="0"/>
        </w:numPr>
      </w:pPr>
      <w:r>
        <w:t>Shrnutí</w:t>
      </w:r>
    </w:p>
    <w:p w:rsidR="003F063C" w:rsidRDefault="003F063C" w:rsidP="000B79AA">
      <w:r>
        <w:t>Úspěšně realizované projekty přinášejí následující hlavní závěry:</w:t>
      </w:r>
    </w:p>
    <w:p w:rsidR="003F063C" w:rsidRDefault="003F063C" w:rsidP="00184A4C">
      <w:pPr>
        <w:pStyle w:val="ColorfulList-Accent11"/>
        <w:numPr>
          <w:ilvl w:val="0"/>
          <w:numId w:val="18"/>
        </w:numPr>
      </w:pPr>
      <w:r>
        <w:t xml:space="preserve">Výdej a provoz karet je ve všech případech </w:t>
      </w:r>
      <w:r w:rsidRPr="004F292C">
        <w:rPr>
          <w:b/>
        </w:rPr>
        <w:t>v gesci soukromého subjektu mimo municipalitu</w:t>
      </w:r>
      <w:r>
        <w:t>. Zpravidla se jedná o dceřinou společnost dopravního podniku.</w:t>
      </w:r>
    </w:p>
    <w:p w:rsidR="003F063C" w:rsidRPr="00FD6486" w:rsidRDefault="003F063C" w:rsidP="00184A4C">
      <w:pPr>
        <w:pStyle w:val="ColorfulList-Accent11"/>
        <w:numPr>
          <w:ilvl w:val="0"/>
          <w:numId w:val="18"/>
        </w:numPr>
        <w:rPr>
          <w:b/>
        </w:rPr>
      </w:pPr>
      <w:r w:rsidRPr="00FD6486">
        <w:rPr>
          <w:b/>
        </w:rPr>
        <w:t xml:space="preserve">Výdej a obnova karet jsou </w:t>
      </w:r>
      <w:r>
        <w:rPr>
          <w:b/>
        </w:rPr>
        <w:t xml:space="preserve">ve většině měst </w:t>
      </w:r>
      <w:r w:rsidRPr="00FD6486">
        <w:rPr>
          <w:b/>
        </w:rPr>
        <w:t>zpoplatněny</w:t>
      </w:r>
      <w:r>
        <w:t xml:space="preserve"> a karta má omezenou dobu platnosti. </w:t>
      </w:r>
      <w:r w:rsidRPr="00FD6486">
        <w:rPr>
          <w:b/>
        </w:rPr>
        <w:t>Pražská opencard je však stále poskytována bezplatně.</w:t>
      </w:r>
    </w:p>
    <w:p w:rsidR="003F063C" w:rsidRDefault="003F063C" w:rsidP="00184A4C">
      <w:pPr>
        <w:pStyle w:val="ColorfulList-Accent11"/>
        <w:numPr>
          <w:ilvl w:val="0"/>
          <w:numId w:val="18"/>
        </w:numPr>
      </w:pPr>
      <w:r>
        <w:t>P</w:t>
      </w:r>
      <w:r w:rsidRPr="003A6440">
        <w:t xml:space="preserve">o </w:t>
      </w:r>
      <w:r>
        <w:t xml:space="preserve">úspěšném </w:t>
      </w:r>
      <w:r w:rsidRPr="003A6440">
        <w:t xml:space="preserve">zavedení dopravní aplikace </w:t>
      </w:r>
      <w:r>
        <w:t xml:space="preserve">byla </w:t>
      </w:r>
      <w:r w:rsidRPr="00FD6486">
        <w:rPr>
          <w:b/>
        </w:rPr>
        <w:t>funkcionalita karet zpravidla rozšířena o systém věrnostních výhod a benefitů</w:t>
      </w:r>
      <w:r>
        <w:t>, přičemž v českém prostředí se průměrná výše slevy poskytované držitelům karty v rámci věrnostního programu pohybuje okolo 10 %.</w:t>
      </w:r>
    </w:p>
    <w:p w:rsidR="003F063C" w:rsidRPr="004F292C" w:rsidRDefault="003F063C" w:rsidP="00184A4C">
      <w:pPr>
        <w:pStyle w:val="ColorfulList-Accent11"/>
        <w:numPr>
          <w:ilvl w:val="0"/>
          <w:numId w:val="18"/>
        </w:numPr>
      </w:pPr>
      <w:r>
        <w:t>Multifunkční smart karty také obvykle nabízejí platební funkcionalitu.</w:t>
      </w:r>
    </w:p>
    <w:p w:rsidR="003F063C" w:rsidRPr="00595139" w:rsidRDefault="003F063C" w:rsidP="000B79AA"/>
    <w:p w:rsidR="003F063C" w:rsidRPr="00595E75" w:rsidRDefault="003F063C" w:rsidP="000B79AA">
      <w:pPr>
        <w:spacing w:before="120"/>
        <w:rPr>
          <w:szCs w:val="20"/>
        </w:rPr>
      </w:pPr>
    </w:p>
    <w:sectPr w:rsidR="003F063C" w:rsidRPr="00595E75" w:rsidSect="000B79AA">
      <w:pgSz w:w="11906" w:h="16838"/>
      <w:pgMar w:top="720" w:right="720" w:bottom="720" w:left="720" w:header="709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63C" w:rsidRDefault="003F063C" w:rsidP="000B79AA">
      <w:r>
        <w:separator/>
      </w:r>
    </w:p>
  </w:endnote>
  <w:endnote w:type="continuationSeparator" w:id="0">
    <w:p w:rsidR="003F063C" w:rsidRDefault="003F063C" w:rsidP="000B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3C" w:rsidRDefault="003F06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3C" w:rsidRPr="003F3669" w:rsidRDefault="003F063C" w:rsidP="000B79AA">
    <w:pPr>
      <w:pStyle w:val="Footer"/>
      <w:tabs>
        <w:tab w:val="clear" w:pos="9072"/>
        <w:tab w:val="right" w:pos="10348"/>
      </w:tabs>
    </w:pPr>
    <w:r w:rsidRPr="003F3669">
      <w:tab/>
    </w:r>
    <w:r>
      <w:tab/>
    </w:r>
    <w:r w:rsidRPr="003F3669">
      <w:t xml:space="preserve">Strana </w:t>
    </w:r>
    <w:fldSimple w:instr=" PAGE   \* MERGEFORMAT ">
      <w:r>
        <w:rPr>
          <w:noProof/>
        </w:rPr>
        <w:t>3</w:t>
      </w:r>
    </w:fldSimple>
    <w:r w:rsidRPr="003F3669">
      <w:t xml:space="preserve"> </w:t>
    </w:r>
    <w:r>
      <w:t>(C</w:t>
    </w:r>
    <w:r w:rsidRPr="003F3669">
      <w:t>elkem</w:t>
    </w:r>
    <w:r>
      <w:t xml:space="preserve"> </w:t>
    </w:r>
    <w:fldSimple w:instr=" NUMPAGES   \* MERGEFORMAT ">
      <w:r>
        <w:rPr>
          <w:noProof/>
        </w:rPr>
        <w:t>17</w:t>
      </w:r>
    </w:fldSimple>
    <w:r>
      <w:t>)</w:t>
    </w:r>
    <w:r w:rsidRPr="003F3669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3C" w:rsidRDefault="003F06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63C" w:rsidRDefault="003F063C" w:rsidP="000B79AA">
      <w:r>
        <w:separator/>
      </w:r>
    </w:p>
  </w:footnote>
  <w:footnote w:type="continuationSeparator" w:id="0">
    <w:p w:rsidR="003F063C" w:rsidRDefault="003F063C" w:rsidP="000B79AA">
      <w:r>
        <w:continuationSeparator/>
      </w:r>
    </w:p>
  </w:footnote>
  <w:footnote w:id="1">
    <w:p w:rsidR="003F063C" w:rsidRDefault="003F063C">
      <w:pPr>
        <w:pStyle w:val="FootnoteText"/>
      </w:pPr>
      <w:r w:rsidRPr="005C6E74">
        <w:rPr>
          <w:rStyle w:val="FootnoteReference"/>
          <w:sz w:val="16"/>
          <w:szCs w:val="16"/>
        </w:rPr>
        <w:footnoteRef/>
      </w:r>
      <w:r>
        <w:t xml:space="preserve"> </w:t>
      </w:r>
      <w:r w:rsidRPr="005C6E74">
        <w:rPr>
          <w:sz w:val="16"/>
          <w:szCs w:val="16"/>
        </w:rPr>
        <w:t>Tento materiál vznikl na základě podkladů od společnosti Haguess, a. s. a DPHMP.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3C" w:rsidRDefault="003F06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3C" w:rsidRDefault="003F06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3C" w:rsidRDefault="003F06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CE3"/>
    <w:multiLevelType w:val="hybridMultilevel"/>
    <w:tmpl w:val="39FA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7FAC"/>
    <w:multiLevelType w:val="hybridMultilevel"/>
    <w:tmpl w:val="E076C89A"/>
    <w:lvl w:ilvl="0" w:tplc="372630A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CDD2037"/>
    <w:multiLevelType w:val="hybridMultilevel"/>
    <w:tmpl w:val="139A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971A8"/>
    <w:multiLevelType w:val="hybridMultilevel"/>
    <w:tmpl w:val="FD6EF3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7B7392"/>
    <w:multiLevelType w:val="hybridMultilevel"/>
    <w:tmpl w:val="724AE41C"/>
    <w:lvl w:ilvl="0" w:tplc="AD1CB278">
      <w:start w:val="1"/>
      <w:numFmt w:val="decimal"/>
      <w:pStyle w:val="Heading3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8B49B4"/>
    <w:multiLevelType w:val="hybridMultilevel"/>
    <w:tmpl w:val="EC4E24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951926"/>
    <w:multiLevelType w:val="hybridMultilevel"/>
    <w:tmpl w:val="DF22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93338"/>
    <w:multiLevelType w:val="hybridMultilevel"/>
    <w:tmpl w:val="579C8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E7099"/>
    <w:multiLevelType w:val="hybridMultilevel"/>
    <w:tmpl w:val="CED6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80619"/>
    <w:multiLevelType w:val="hybridMultilevel"/>
    <w:tmpl w:val="48E8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A65D9"/>
    <w:multiLevelType w:val="hybridMultilevel"/>
    <w:tmpl w:val="E3E6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F7EEB"/>
    <w:multiLevelType w:val="multilevel"/>
    <w:tmpl w:val="8E26E2F2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 Bold" w:hint="default"/>
        <w:b/>
        <w:i w:val="0"/>
        <w:color w:val="4F6228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 Bold" w:hint="default"/>
        <w:b/>
        <w:i w:val="0"/>
        <w:color w:val="4F6228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324"/>
        </w:tabs>
        <w:ind w:left="1324" w:hanging="964"/>
      </w:pPr>
      <w:rPr>
        <w:rFonts w:ascii="Times New Roman Bold" w:hAnsi="Times New Roman Bold" w:cs="Times New Roman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4"/>
        </w:tabs>
        <w:ind w:left="1144" w:hanging="964"/>
      </w:pPr>
      <w:rPr>
        <w:rFonts w:ascii="Times New Roman Bold" w:hAnsi="Times New Roman Bold" w:cs="Times New Roman" w:hint="default"/>
        <w:b/>
        <w:i/>
        <w:color w:val="000066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2">
    <w:nsid w:val="37A73CB4"/>
    <w:multiLevelType w:val="hybridMultilevel"/>
    <w:tmpl w:val="E488D2C8"/>
    <w:lvl w:ilvl="0" w:tplc="AB9067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276F4"/>
    <w:multiLevelType w:val="hybridMultilevel"/>
    <w:tmpl w:val="5CF8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361C5"/>
    <w:multiLevelType w:val="multilevel"/>
    <w:tmpl w:val="87C40894"/>
    <w:styleLink w:val="Style1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ind w:left="1800" w:hanging="360"/>
      </w:pPr>
      <w:rPr>
        <w:rFonts w:ascii="Arial" w:hAnsi="Arial" w:cs="Times New Roman" w:hint="default"/>
        <w:b/>
        <w:color w:val="1F497D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5">
    <w:nsid w:val="5AEE29D4"/>
    <w:multiLevelType w:val="hybridMultilevel"/>
    <w:tmpl w:val="16DA0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4744F"/>
    <w:multiLevelType w:val="multilevel"/>
    <w:tmpl w:val="DE7238AE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69715415"/>
    <w:multiLevelType w:val="hybridMultilevel"/>
    <w:tmpl w:val="D2B8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07885"/>
    <w:multiLevelType w:val="hybridMultilevel"/>
    <w:tmpl w:val="D788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1738A"/>
    <w:multiLevelType w:val="hybridMultilevel"/>
    <w:tmpl w:val="BAB2E9EA"/>
    <w:lvl w:ilvl="0" w:tplc="FFFFFFFF">
      <w:start w:val="1"/>
      <w:numFmt w:val="bullet"/>
      <w:pStyle w:val="Odraky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17"/>
  </w:num>
  <w:num w:numId="12">
    <w:abstractNumId w:val="9"/>
  </w:num>
  <w:num w:numId="13">
    <w:abstractNumId w:val="7"/>
  </w:num>
  <w:num w:numId="14">
    <w:abstractNumId w:val="15"/>
  </w:num>
  <w:num w:numId="15">
    <w:abstractNumId w:val="5"/>
  </w:num>
  <w:num w:numId="16">
    <w:abstractNumId w:val="12"/>
  </w:num>
  <w:num w:numId="17">
    <w:abstractNumId w:val="14"/>
  </w:num>
  <w:num w:numId="18">
    <w:abstractNumId w:val="18"/>
  </w:num>
  <w:num w:numId="19">
    <w:abstractNumId w:val="13"/>
  </w:num>
  <w:num w:numId="20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45D"/>
    <w:rsid w:val="000048E7"/>
    <w:rsid w:val="00023159"/>
    <w:rsid w:val="00023FDD"/>
    <w:rsid w:val="000260BD"/>
    <w:rsid w:val="000319C8"/>
    <w:rsid w:val="0003326B"/>
    <w:rsid w:val="0003529F"/>
    <w:rsid w:val="00057AA6"/>
    <w:rsid w:val="00065BCF"/>
    <w:rsid w:val="0007670B"/>
    <w:rsid w:val="00095B84"/>
    <w:rsid w:val="00096128"/>
    <w:rsid w:val="000967D7"/>
    <w:rsid w:val="000B79AA"/>
    <w:rsid w:val="000B7A4F"/>
    <w:rsid w:val="000C44B0"/>
    <w:rsid w:val="000C7339"/>
    <w:rsid w:val="000F42C6"/>
    <w:rsid w:val="000F4EBE"/>
    <w:rsid w:val="000F66BD"/>
    <w:rsid w:val="00106CE5"/>
    <w:rsid w:val="001209B1"/>
    <w:rsid w:val="00122546"/>
    <w:rsid w:val="00125777"/>
    <w:rsid w:val="00126BAC"/>
    <w:rsid w:val="00134077"/>
    <w:rsid w:val="0013605E"/>
    <w:rsid w:val="00143201"/>
    <w:rsid w:val="00153062"/>
    <w:rsid w:val="00155EED"/>
    <w:rsid w:val="00165F19"/>
    <w:rsid w:val="00184A4C"/>
    <w:rsid w:val="00196875"/>
    <w:rsid w:val="001978FD"/>
    <w:rsid w:val="001C56A1"/>
    <w:rsid w:val="001C6127"/>
    <w:rsid w:val="001D406B"/>
    <w:rsid w:val="001E08FD"/>
    <w:rsid w:val="001F385B"/>
    <w:rsid w:val="00201770"/>
    <w:rsid w:val="00211CF3"/>
    <w:rsid w:val="00212C9C"/>
    <w:rsid w:val="00212CCE"/>
    <w:rsid w:val="002222FB"/>
    <w:rsid w:val="002514D3"/>
    <w:rsid w:val="00264296"/>
    <w:rsid w:val="00272FE4"/>
    <w:rsid w:val="00275024"/>
    <w:rsid w:val="0028234A"/>
    <w:rsid w:val="00295BED"/>
    <w:rsid w:val="002C1A4E"/>
    <w:rsid w:val="002C461B"/>
    <w:rsid w:val="002D0CB4"/>
    <w:rsid w:val="002E32C2"/>
    <w:rsid w:val="002F69E1"/>
    <w:rsid w:val="00305D84"/>
    <w:rsid w:val="00315417"/>
    <w:rsid w:val="003333BD"/>
    <w:rsid w:val="00360C7E"/>
    <w:rsid w:val="00367365"/>
    <w:rsid w:val="0038045D"/>
    <w:rsid w:val="003A6440"/>
    <w:rsid w:val="003B5623"/>
    <w:rsid w:val="003D79FB"/>
    <w:rsid w:val="003F063C"/>
    <w:rsid w:val="003F3669"/>
    <w:rsid w:val="0041747F"/>
    <w:rsid w:val="00424A0D"/>
    <w:rsid w:val="00425ED5"/>
    <w:rsid w:val="004312E4"/>
    <w:rsid w:val="004449FC"/>
    <w:rsid w:val="00447CC0"/>
    <w:rsid w:val="00484B22"/>
    <w:rsid w:val="00485432"/>
    <w:rsid w:val="0049546F"/>
    <w:rsid w:val="004A7D96"/>
    <w:rsid w:val="004B5335"/>
    <w:rsid w:val="004C421A"/>
    <w:rsid w:val="004C5E36"/>
    <w:rsid w:val="004C77EA"/>
    <w:rsid w:val="004E09D4"/>
    <w:rsid w:val="004E1921"/>
    <w:rsid w:val="004F292C"/>
    <w:rsid w:val="004F2C7F"/>
    <w:rsid w:val="00502BBE"/>
    <w:rsid w:val="00504125"/>
    <w:rsid w:val="00507711"/>
    <w:rsid w:val="00512D01"/>
    <w:rsid w:val="00514C7E"/>
    <w:rsid w:val="0052437C"/>
    <w:rsid w:val="00526A34"/>
    <w:rsid w:val="005354CE"/>
    <w:rsid w:val="005533CC"/>
    <w:rsid w:val="00591152"/>
    <w:rsid w:val="00594A38"/>
    <w:rsid w:val="00595139"/>
    <w:rsid w:val="00595E75"/>
    <w:rsid w:val="005A3D68"/>
    <w:rsid w:val="005C6E74"/>
    <w:rsid w:val="005D02B7"/>
    <w:rsid w:val="005E5B07"/>
    <w:rsid w:val="006230F4"/>
    <w:rsid w:val="00623C96"/>
    <w:rsid w:val="00633D75"/>
    <w:rsid w:val="00640651"/>
    <w:rsid w:val="006557D7"/>
    <w:rsid w:val="006601A0"/>
    <w:rsid w:val="006872A5"/>
    <w:rsid w:val="006B7DB2"/>
    <w:rsid w:val="006F4322"/>
    <w:rsid w:val="006F7564"/>
    <w:rsid w:val="00732C54"/>
    <w:rsid w:val="0074022B"/>
    <w:rsid w:val="007445FB"/>
    <w:rsid w:val="00751BC9"/>
    <w:rsid w:val="0075408E"/>
    <w:rsid w:val="0078056E"/>
    <w:rsid w:val="0078327B"/>
    <w:rsid w:val="0078713C"/>
    <w:rsid w:val="00791360"/>
    <w:rsid w:val="007A14E4"/>
    <w:rsid w:val="007B1F28"/>
    <w:rsid w:val="007C08BB"/>
    <w:rsid w:val="007C2DDD"/>
    <w:rsid w:val="007E09A9"/>
    <w:rsid w:val="0081007E"/>
    <w:rsid w:val="00811588"/>
    <w:rsid w:val="00851317"/>
    <w:rsid w:val="0085757C"/>
    <w:rsid w:val="00866071"/>
    <w:rsid w:val="00866E39"/>
    <w:rsid w:val="00867446"/>
    <w:rsid w:val="0086792C"/>
    <w:rsid w:val="008B3A73"/>
    <w:rsid w:val="008B7647"/>
    <w:rsid w:val="008B7D2A"/>
    <w:rsid w:val="008D0AB5"/>
    <w:rsid w:val="008D6960"/>
    <w:rsid w:val="008E4B46"/>
    <w:rsid w:val="008E5087"/>
    <w:rsid w:val="008F0D3A"/>
    <w:rsid w:val="008F51CD"/>
    <w:rsid w:val="00904131"/>
    <w:rsid w:val="009104EE"/>
    <w:rsid w:val="0091249F"/>
    <w:rsid w:val="00925895"/>
    <w:rsid w:val="0094187A"/>
    <w:rsid w:val="00944C77"/>
    <w:rsid w:val="009660C4"/>
    <w:rsid w:val="00974776"/>
    <w:rsid w:val="00985F83"/>
    <w:rsid w:val="00985FA5"/>
    <w:rsid w:val="00987D89"/>
    <w:rsid w:val="009908A4"/>
    <w:rsid w:val="009911F4"/>
    <w:rsid w:val="00993D9A"/>
    <w:rsid w:val="009D76D5"/>
    <w:rsid w:val="009E487D"/>
    <w:rsid w:val="009E4C85"/>
    <w:rsid w:val="009E5602"/>
    <w:rsid w:val="009E6DEB"/>
    <w:rsid w:val="009E7733"/>
    <w:rsid w:val="009F7F5D"/>
    <w:rsid w:val="00A14221"/>
    <w:rsid w:val="00A22FCC"/>
    <w:rsid w:val="00A2703A"/>
    <w:rsid w:val="00A3746C"/>
    <w:rsid w:val="00A44CDD"/>
    <w:rsid w:val="00A472E3"/>
    <w:rsid w:val="00A601CC"/>
    <w:rsid w:val="00A976B4"/>
    <w:rsid w:val="00AA1565"/>
    <w:rsid w:val="00AB4969"/>
    <w:rsid w:val="00AE60EB"/>
    <w:rsid w:val="00AF131A"/>
    <w:rsid w:val="00AF5B23"/>
    <w:rsid w:val="00AF7C12"/>
    <w:rsid w:val="00B02BC3"/>
    <w:rsid w:val="00B1719B"/>
    <w:rsid w:val="00B21808"/>
    <w:rsid w:val="00B45F53"/>
    <w:rsid w:val="00B475BD"/>
    <w:rsid w:val="00B500B3"/>
    <w:rsid w:val="00B57132"/>
    <w:rsid w:val="00B5764E"/>
    <w:rsid w:val="00B83BD9"/>
    <w:rsid w:val="00BA640F"/>
    <w:rsid w:val="00BB3A3F"/>
    <w:rsid w:val="00BB4FBB"/>
    <w:rsid w:val="00BD6022"/>
    <w:rsid w:val="00BE008C"/>
    <w:rsid w:val="00BE1608"/>
    <w:rsid w:val="00BF0C82"/>
    <w:rsid w:val="00BF1771"/>
    <w:rsid w:val="00C0085F"/>
    <w:rsid w:val="00C0171F"/>
    <w:rsid w:val="00C14399"/>
    <w:rsid w:val="00C27E9A"/>
    <w:rsid w:val="00C41C5A"/>
    <w:rsid w:val="00C56BA4"/>
    <w:rsid w:val="00C74774"/>
    <w:rsid w:val="00C802D4"/>
    <w:rsid w:val="00C82D70"/>
    <w:rsid w:val="00C85C46"/>
    <w:rsid w:val="00C873FD"/>
    <w:rsid w:val="00C97804"/>
    <w:rsid w:val="00CB1DF9"/>
    <w:rsid w:val="00CB5F5C"/>
    <w:rsid w:val="00CD0712"/>
    <w:rsid w:val="00CE5939"/>
    <w:rsid w:val="00CE6E48"/>
    <w:rsid w:val="00CF5EFD"/>
    <w:rsid w:val="00D00F85"/>
    <w:rsid w:val="00D029E6"/>
    <w:rsid w:val="00D02A16"/>
    <w:rsid w:val="00D0588A"/>
    <w:rsid w:val="00D107D9"/>
    <w:rsid w:val="00D1088A"/>
    <w:rsid w:val="00D2320C"/>
    <w:rsid w:val="00D27AC3"/>
    <w:rsid w:val="00D322BC"/>
    <w:rsid w:val="00D60924"/>
    <w:rsid w:val="00D63633"/>
    <w:rsid w:val="00D65DDA"/>
    <w:rsid w:val="00D67E3D"/>
    <w:rsid w:val="00D83E1E"/>
    <w:rsid w:val="00D8533E"/>
    <w:rsid w:val="00D93627"/>
    <w:rsid w:val="00DB0B7A"/>
    <w:rsid w:val="00DB357D"/>
    <w:rsid w:val="00DD6BA6"/>
    <w:rsid w:val="00DE7AF8"/>
    <w:rsid w:val="00DF41B4"/>
    <w:rsid w:val="00E01319"/>
    <w:rsid w:val="00E0749F"/>
    <w:rsid w:val="00E11BF5"/>
    <w:rsid w:val="00E20D38"/>
    <w:rsid w:val="00E3769D"/>
    <w:rsid w:val="00E52ECA"/>
    <w:rsid w:val="00E67BE2"/>
    <w:rsid w:val="00E867E4"/>
    <w:rsid w:val="00E9653B"/>
    <w:rsid w:val="00EB0EFA"/>
    <w:rsid w:val="00EB2146"/>
    <w:rsid w:val="00EB7C38"/>
    <w:rsid w:val="00EC2ECB"/>
    <w:rsid w:val="00F021E0"/>
    <w:rsid w:val="00F02851"/>
    <w:rsid w:val="00F11BBB"/>
    <w:rsid w:val="00F14748"/>
    <w:rsid w:val="00F3455D"/>
    <w:rsid w:val="00F4244D"/>
    <w:rsid w:val="00F64F6C"/>
    <w:rsid w:val="00F83D64"/>
    <w:rsid w:val="00F86B88"/>
    <w:rsid w:val="00F87A00"/>
    <w:rsid w:val="00FC11B8"/>
    <w:rsid w:val="00FC1B08"/>
    <w:rsid w:val="00FD5710"/>
    <w:rsid w:val="00FD5CF5"/>
    <w:rsid w:val="00FD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565"/>
    <w:pPr>
      <w:spacing w:before="80" w:after="80"/>
      <w:jc w:val="both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565"/>
    <w:pPr>
      <w:keepNext/>
      <w:numPr>
        <w:numId w:val="1"/>
      </w:numPr>
      <w:spacing w:after="180"/>
      <w:outlineLvl w:val="0"/>
    </w:pPr>
    <w:rPr>
      <w:rFonts w:cs="Arial"/>
      <w:b/>
      <w:bCs/>
      <w:caps/>
      <w:color w:val="4F6228"/>
      <w:kern w:val="32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1565"/>
    <w:pPr>
      <w:keepNext/>
      <w:numPr>
        <w:ilvl w:val="1"/>
        <w:numId w:val="1"/>
      </w:numPr>
      <w:spacing w:before="60" w:after="60"/>
      <w:outlineLvl w:val="1"/>
    </w:pPr>
    <w:rPr>
      <w:rFonts w:cs="Arial"/>
      <w:b/>
      <w:bCs/>
      <w:iCs/>
      <w:color w:val="4F6228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AA1565"/>
    <w:pPr>
      <w:keepNext/>
      <w:numPr>
        <w:numId w:val="20"/>
      </w:numPr>
      <w:tabs>
        <w:tab w:val="left" w:pos="1134"/>
      </w:tabs>
      <w:spacing w:before="240"/>
      <w:outlineLvl w:val="2"/>
    </w:pPr>
    <w:rPr>
      <w:rFonts w:cs="Arial"/>
      <w:b/>
      <w:bCs/>
      <w:color w:val="4F6228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AA1565"/>
    <w:pPr>
      <w:keepNext/>
      <w:numPr>
        <w:ilvl w:val="3"/>
        <w:numId w:val="1"/>
      </w:numPr>
      <w:tabs>
        <w:tab w:val="left" w:pos="964"/>
      </w:tabs>
      <w:spacing w:before="240" w:after="60"/>
      <w:outlineLvl w:val="3"/>
    </w:pPr>
    <w:rPr>
      <w:rFonts w:ascii="Times New Roman Bold" w:hAnsi="Times New Roman Bold"/>
      <w:bCs/>
      <w:i/>
      <w:color w:val="0000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1565"/>
    <w:rPr>
      <w:rFonts w:ascii="Arial" w:hAnsi="Arial" w:cs="Arial"/>
      <w:b/>
      <w:bCs/>
      <w:caps/>
      <w:color w:val="4F6228"/>
      <w:kern w:val="32"/>
      <w:sz w:val="28"/>
      <w:szCs w:val="28"/>
      <w:lang w:val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A1565"/>
    <w:rPr>
      <w:rFonts w:ascii="Arial" w:hAnsi="Arial" w:cs="Arial"/>
      <w:b/>
      <w:bCs/>
      <w:iCs/>
      <w:color w:val="4F6228"/>
      <w:sz w:val="28"/>
      <w:szCs w:val="28"/>
      <w:lang w:val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1565"/>
    <w:rPr>
      <w:rFonts w:ascii="Arial" w:hAnsi="Arial" w:cs="Arial"/>
      <w:b/>
      <w:bCs/>
      <w:color w:val="4F6228"/>
      <w:sz w:val="22"/>
      <w:szCs w:val="22"/>
      <w:lang w:val="cs-C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A1565"/>
    <w:rPr>
      <w:rFonts w:ascii="Times New Roman Bold" w:hAnsi="Times New Roman Bold" w:cs="Times New Roman"/>
      <w:bCs/>
      <w:i/>
      <w:color w:val="000066"/>
      <w:sz w:val="24"/>
      <w:szCs w:val="24"/>
      <w:lang w:val="cs-CZ"/>
    </w:rPr>
  </w:style>
  <w:style w:type="table" w:styleId="TableGrid">
    <w:name w:val="Table Grid"/>
    <w:basedOn w:val="TableNormal"/>
    <w:uiPriority w:val="99"/>
    <w:rsid w:val="00AA15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A15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74776"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A15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15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74776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1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47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A1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4776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AA15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156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15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1565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1565"/>
    <w:rPr>
      <w:b/>
      <w:bCs/>
      <w:szCs w:val="20"/>
    </w:rPr>
  </w:style>
  <w:style w:type="paragraph" w:customStyle="1" w:styleId="NoSpacing1">
    <w:name w:val="No Spacing1"/>
    <w:link w:val="NoSpacingChar"/>
    <w:uiPriority w:val="99"/>
    <w:rsid w:val="00AA1565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AA1565"/>
    <w:pPr>
      <w:ind w:left="720"/>
    </w:pPr>
  </w:style>
  <w:style w:type="character" w:styleId="Strong">
    <w:name w:val="Strong"/>
    <w:basedOn w:val="DefaultParagraphFont"/>
    <w:uiPriority w:val="99"/>
    <w:qFormat/>
    <w:rsid w:val="00AA156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AA1565"/>
    <w:rPr>
      <w:rFonts w:cs="Times New Roman"/>
      <w:color w:val="0000FF"/>
      <w:u w:val="single"/>
    </w:rPr>
  </w:style>
  <w:style w:type="paragraph" w:customStyle="1" w:styleId="Odraky1">
    <w:name w:val="Odražky1"/>
    <w:basedOn w:val="Normal"/>
    <w:uiPriority w:val="99"/>
    <w:rsid w:val="00AA1565"/>
    <w:pPr>
      <w:numPr>
        <w:numId w:val="2"/>
      </w:numPr>
    </w:pPr>
    <w:rPr>
      <w:rFonts w:eastAsia="SimSun"/>
      <w:sz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AA156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1565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A1565"/>
    <w:rPr>
      <w:rFonts w:cs="Times New Roman"/>
      <w:vertAlign w:val="superscript"/>
    </w:rPr>
  </w:style>
  <w:style w:type="character" w:customStyle="1" w:styleId="IntenseEmphasis1">
    <w:name w:val="Intense Emphasis1"/>
    <w:basedOn w:val="DefaultParagraphFont"/>
    <w:uiPriority w:val="99"/>
    <w:rsid w:val="00AA1565"/>
    <w:rPr>
      <w:rFonts w:cs="Times New Roman"/>
      <w:b/>
      <w:bCs/>
      <w:i/>
      <w:iCs/>
      <w:color w:val="4F81BD"/>
    </w:rPr>
  </w:style>
  <w:style w:type="paragraph" w:customStyle="1" w:styleId="Footnote">
    <w:name w:val="Footnote"/>
    <w:basedOn w:val="FootnoteText"/>
    <w:link w:val="FootnoteChar"/>
    <w:uiPriority w:val="99"/>
    <w:rsid w:val="00AA1565"/>
    <w:pPr>
      <w:spacing w:before="60" w:after="60"/>
    </w:pPr>
  </w:style>
  <w:style w:type="paragraph" w:customStyle="1" w:styleId="Bodytext">
    <w:name w:val="Body text"/>
    <w:uiPriority w:val="99"/>
    <w:rsid w:val="00AA1565"/>
    <w:rPr>
      <w:rFonts w:ascii="Arial" w:hAnsi="Arial"/>
      <w:color w:val="000000"/>
      <w:sz w:val="19"/>
      <w:szCs w:val="48"/>
      <w:lang w:eastAsia="en-US"/>
    </w:rPr>
  </w:style>
  <w:style w:type="character" w:customStyle="1" w:styleId="FootnoteChar">
    <w:name w:val="Footnote Char"/>
    <w:basedOn w:val="FootnoteTextChar"/>
    <w:link w:val="Footnote"/>
    <w:uiPriority w:val="99"/>
    <w:locked/>
    <w:rsid w:val="00AA1565"/>
  </w:style>
  <w:style w:type="paragraph" w:customStyle="1" w:styleId="smlouvaheading1">
    <w:name w:val="smlouva heading 1"/>
    <w:next w:val="Bodytext"/>
    <w:uiPriority w:val="99"/>
    <w:rsid w:val="00AA1565"/>
    <w:pPr>
      <w:numPr>
        <w:numId w:val="3"/>
      </w:numPr>
      <w:tabs>
        <w:tab w:val="left" w:pos="873"/>
      </w:tabs>
      <w:spacing w:before="12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al"/>
    <w:next w:val="Bodytext"/>
    <w:uiPriority w:val="99"/>
    <w:rsid w:val="00AA1565"/>
    <w:pPr>
      <w:numPr>
        <w:ilvl w:val="1"/>
        <w:numId w:val="3"/>
      </w:numPr>
      <w:tabs>
        <w:tab w:val="left" w:pos="567"/>
      </w:tabs>
      <w:spacing w:before="0" w:after="0"/>
      <w:jc w:val="left"/>
    </w:pPr>
    <w:rPr>
      <w:color w:val="000000"/>
      <w:szCs w:val="22"/>
    </w:rPr>
  </w:style>
  <w:style w:type="paragraph" w:customStyle="1" w:styleId="smlouvaheading3">
    <w:name w:val="smlouva heading 3"/>
    <w:basedOn w:val="smlouvaheading2"/>
    <w:next w:val="Bodytext"/>
    <w:uiPriority w:val="99"/>
    <w:rsid w:val="00AA1565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"/>
    <w:uiPriority w:val="99"/>
    <w:rsid w:val="00AA1565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customStyle="1" w:styleId="NoSpacingChar">
    <w:name w:val="No Spacing Char"/>
    <w:basedOn w:val="DefaultParagraphFont"/>
    <w:link w:val="NoSpacing1"/>
    <w:uiPriority w:val="99"/>
    <w:locked/>
    <w:rsid w:val="00AA1565"/>
    <w:rPr>
      <w:rFonts w:cs="Times New Roman"/>
      <w:sz w:val="24"/>
      <w:szCs w:val="24"/>
      <w:lang w:val="cs-CZ" w:eastAsia="cs-CZ" w:bidi="ar-SA"/>
    </w:rPr>
  </w:style>
  <w:style w:type="paragraph" w:customStyle="1" w:styleId="TableText-Decimal">
    <w:name w:val="Table Text - Decimal"/>
    <w:basedOn w:val="Normal"/>
    <w:uiPriority w:val="99"/>
    <w:rsid w:val="00AA1565"/>
    <w:pPr>
      <w:tabs>
        <w:tab w:val="decimal" w:pos="977"/>
      </w:tabs>
      <w:spacing w:before="40" w:after="40" w:line="300" w:lineRule="auto"/>
      <w:jc w:val="left"/>
    </w:pPr>
    <w:rPr>
      <w:rFonts w:ascii="Calibri" w:hAnsi="Calibri"/>
      <w:color w:val="548DD4"/>
      <w:sz w:val="18"/>
      <w:szCs w:val="18"/>
      <w:lang w:val="en-US"/>
    </w:rPr>
  </w:style>
  <w:style w:type="numbering" w:customStyle="1" w:styleId="Style1">
    <w:name w:val="Style1"/>
    <w:rsid w:val="00DF2640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5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53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55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6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06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6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53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0.emf"/><Relationship Id="rId27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17</Pages>
  <Words>6989</Words>
  <Characters>-32766</Characters>
  <Application>Microsoft Office Outlook</Application>
  <DocSecurity>0</DocSecurity>
  <Lines>0</Lines>
  <Paragraphs>0</Paragraphs>
  <ScaleCrop>false</ScaleCrop>
  <Company>Deloitte Touche Tohmatsu Services,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 opencard</dc:title>
  <dc:subject>Důvodová zpráva</dc:subject>
  <dc:creator>Petr Mraz</dc:creator>
  <cp:keywords/>
  <dc:description/>
  <cp:lastModifiedBy>INF</cp:lastModifiedBy>
  <cp:revision>9</cp:revision>
  <cp:lastPrinted>2010-03-12T10:50:00Z</cp:lastPrinted>
  <dcterms:created xsi:type="dcterms:W3CDTF">2010-03-09T10:08:00Z</dcterms:created>
  <dcterms:modified xsi:type="dcterms:W3CDTF">2010-03-12T10:50:00Z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