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spacing w:lineRule="auto" w:line="240" w:before="0" w:after="0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keepNext/>
        <w:spacing w:lineRule="auto" w:line="240" w:before="0" w:after="0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keepNext/>
        <w:numPr>
          <w:ilvl w:val="0"/>
          <w:numId w:val="0"/>
        </w:numPr>
        <w:overflowPunct w:val="true"/>
        <w:spacing w:lineRule="auto" w:line="240" w:before="0" w:after="0"/>
        <w:ind w:firstLine="720"/>
        <w:jc w:val="center"/>
        <w:outlineLvl w:val="0"/>
        <w:rPr>
          <w:rFonts w:ascii="Times New Roman" w:hAnsi="Times New Roman" w:eastAsia="Times New Roman" w:cs="Times New Roman"/>
          <w:b/>
          <w:b/>
          <w:lang w:eastAsia="cs-CZ"/>
        </w:rPr>
      </w:pPr>
      <w:r>
        <w:rPr>
          <w:rFonts w:eastAsia="Times New Roman" w:cs="Times New Roman" w:ascii="Times New Roman" w:hAnsi="Times New Roman"/>
          <w:b/>
          <w:lang w:eastAsia="cs-CZ"/>
        </w:rPr>
        <w:t>OBECNĚ ZÁVAZNÁ VYHLÁŠKA,</w:t>
      </w:r>
    </w:p>
    <w:p>
      <w:pPr>
        <w:pStyle w:val="Normal"/>
        <w:keepNext/>
        <w:spacing w:lineRule="auto" w:line="240" w:before="0" w:after="0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keepNext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lang w:eastAsia="cs-CZ"/>
        </w:rPr>
      </w:pPr>
      <w:r>
        <w:rPr>
          <w:rFonts w:eastAsia="Times New Roman" w:cs="Times New Roman" w:ascii="Times New Roman" w:hAnsi="Times New Roman"/>
          <w:b/>
          <w:lang w:eastAsia="cs-CZ"/>
        </w:rPr>
        <w:t>kterou se mění obecně závazná vyhláška č. 55/2000 Sb. hl. m. Prahy, kterou se vydává Statut hlavního města Prahy ve znění pozdějších předpisů</w:t>
      </w:r>
    </w:p>
    <w:p>
      <w:pPr>
        <w:pStyle w:val="Normal"/>
        <w:keepNext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keepNext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  <w:t>Zastupitelstvo hlavního města Prahy se usneslo dne xx.yy.2015 vydat podle § 17 odst. 3 zákona č. 131/2000 Sb., o hlavním městě Praze, tuto obecně závaznou vyhlášku:</w:t>
      </w:r>
    </w:p>
    <w:p>
      <w:pPr>
        <w:pStyle w:val="Normal"/>
        <w:keepNext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keepNext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keepNext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lang w:eastAsia="cs-CZ"/>
        </w:rPr>
      </w:pPr>
      <w:r>
        <w:rPr>
          <w:rFonts w:eastAsia="Times New Roman" w:cs="Times New Roman" w:ascii="Times New Roman" w:hAnsi="Times New Roman"/>
          <w:b/>
          <w:bCs/>
          <w:lang w:eastAsia="cs-CZ"/>
        </w:rPr>
        <w:t>Čl. I</w:t>
      </w:r>
    </w:p>
    <w:p>
      <w:pPr>
        <w:pStyle w:val="Normal"/>
        <w:keepNext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lang w:eastAsia="cs-CZ"/>
        </w:rPr>
      </w:pPr>
      <w:r>
        <w:rPr>
          <w:rFonts w:eastAsia="Times New Roman" w:cs="Times New Roman" w:ascii="Times New Roman" w:hAnsi="Times New Roman"/>
          <w:b/>
          <w:bCs/>
          <w:lang w:eastAsia="cs-CZ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 xml:space="preserve">Obecně závazná vyhláška č. 55/2000 Sb. hl. m. Prahy, kterou se vydává Statut hlavního města Prahy, ve znění obecně závazné vyhlášky č. 15/2001 Sb. hl. m. Prahy, obecně závazné vyhlášky č. 18/2001 Sb. hl. m. Prahy, obecně závazné vyhlášky č. 19/2001 Sb. hl. m. Prahy, obecně závazné vyhlášky č. 21/2001 Sb. hl. m. Prahy, obecně závazné vyhlášky č. 22/2001 Sb. hl. m. Prahy, obecně závazné vyhlášky č. 28/2001 Sb. hl. m. Prahy, obecně závazné vyhlášky č. 29/2001 Sb. hl. m. Prahy, obecně závazné vyhlášky č. 1/2002 Sb. hl. m. Prahy, obecně závazné vyhlášky č. 3/2002 Sb. hl. m. Prahy, obecně závazné vyhlášky č. 5/2002 Sb. hl. m. Prahy, obecně závazné vyhlášky č. 8/2002 Sb. hl. m. Prahy, </w:t>
      </w:r>
      <w:r>
        <w:rPr>
          <w:rFonts w:eastAsia="Times New Roman" w:cs="Times New Roman" w:ascii="Times New Roman" w:hAnsi="Times New Roman"/>
          <w:color w:val="000000" w:themeColor="text1"/>
          <w:lang w:eastAsia="cs-CZ"/>
        </w:rPr>
        <w:t xml:space="preserve">obecně závazné vyhlášky č. 9/2002 Sb. hl. m. Prahy, </w:t>
      </w:r>
      <w:r>
        <w:rPr>
          <w:rFonts w:eastAsia="Times New Roman" w:cs="Times New Roman" w:ascii="Times New Roman" w:hAnsi="Times New Roman"/>
          <w:color w:val="000000"/>
          <w:lang w:eastAsia="cs-CZ"/>
        </w:rPr>
        <w:t xml:space="preserve">obecně závazné vyhlášky č. 11/2002 Sb. hl. m. Prahy, obecně závazné vyhlášky č. 12/2002 Sb. hl. m. Prahy, obecně závazné vyhlášky č. 13/2002 Sb. hl. m. Prahy, obecně závazné vyhlášky č. 16/2002 Sb. hl. m. Prahy, obecně závazné vyhlášky č. 23/2002 Sb. hl. m. Prahy, obecně závazné vyhlášky č. 26/2002 Sb. hl. m. Prahy, obecně závazné vyhlášky č. 27/2002 Sb. hl. m. Prahy, obecně závazné vyhlášky č. 28/2002 Sb. hl. m. Prahy, obecně závazné vyhlášky č. 29/2002 Sb. hl. m. Prahy, obecně závazné vyhlášky č. 1/2003 Sb. hl. m. Prahy, obecně závazné vyhlášky č. 2/2003 Sb. hl. m. Prahy, obecně závazné vyhlášky č. 3/2003 Sb. hl. m. Prahy, obecně závazné vyhlášky č. 9/2003 Sb. hl. m. Prahy, obecně závazné vyhlášky č. 10/2003 Sb. hl. m. Prahy, obecně závazné vyhlášky č. 13/2003 Sb. hl. m. Prahy, obecně závazné vyhlášky č. 16/2003 Sb. hl. m. Prahy, obecně závazné vyhlášky č. 17/2003 Sb. hl. m. Prahy, obecně závazné vyhlášky č. 19/2003 Sb. hl. m. Prahy, obecně závazné vyhlášky č. 22/2003 Sb. hl. m. Prahy, obecně závazné vyhlášky č. 29/2003 Sb. hl. m. Prahy, obecně závazné vyhlášky č. 32/2003 Sb. hl. m. Prahy, obecně závazné vyhlášky č. 33/2003 Sb. hl. m. Prahy, obecně závazné vyhlášky č. 35/2003 Sb. hl. m. Prahy, obecně závazné vyhlášky č. 1/2004 Sb. hl. m. Prahy, obecně závazné vyhlášky č. 4/2004 Sb. hl. m. Prahy, obecně závazné vyhlášky č. 8/2004 Sb. hl. m. Prahy, obecně závazné vyhlášky č. 9/2004 Sb. hl. m. Prahy, obecně závazné vyhlášky č. 11/2004 Sb. hl. m. Prahy, obecně závazné vyhlášky č. 12/2004 Sb. hl. m. Prahy, obecně závazné vyhlášky č. 16/2004 Sb. hl. m. Prahy, obecně závazné vyhlášky č. 17/2004 Sb. hl. m. Prahy, obecně závazné vyhlášky č. 22/2004 Sb. hl. m. Prahy, obecně závazné vyhlášky č. 25/2004 Sb. hl. m. Prahy, obecně závazné vyhlášky č. 3/2005 Sb. hl. m. Prahy, obecně závazné vyhlášky č. 5/2005 Sb. hl. m. Prahy, obecně závazné vyhlášky č. 8/2005 Sb. hl. m. Prahy, obecně závazné vyhlášky č. 10/2005 Sb. hl. m. Prahy, obecně závazné vyhlášky č. 12/2005 Sb. hl. m. Prahy, obecně závazné vyhlášky č. 14/2005 Sb. hl. m. Prahy, obecně závazné vyhlášky č. 18/2005 Sb. hl. m. Prahy, obecně závazné vyhlášky č. 22/2005 Sb. hl. m. Prahy, obecně závazné vyhlášky č. 25/2005 Sb. hl. m. Prahy, obecně závazné vyhlášky č. 29/2005 Sb. hl. m. Prahy, obecně závazné vyhlášky č. 1/2006 Sb. hl. m. Prahy, obecně závazné vyhlášky č. 2/2006 Sb. hl. m. Prahy, obecně závazné vyhlášky č. 7/2006 Sb. hl. m. Prahy, obecně závazné vyhlášky č. 8/2006 Sb. hl. m. Prahy, obecně závazné vyhlášky č. 10/2006 Sb. hl. m. Prahy, obecně závazné vyhlášky č. 12/2006 Sb. hl. m. Prahy, obecně závazné vyhlášky č. 17/2006 Sb. hl. m. Prahy, obecně závazné vyhlášky č. 25/2006 Sb. hl. m. Prahy, obecně závazné vyhlášky č. 1/2007 Sb. hl. m. Prahy, obecně závazné vyhlášky č. 3/2007 Sb. hl. m. Prahy, obecně závazné vyhlášky č. 4/2007 Sb. hl. m. Prahy, obecně závazné vyhlášky č. 6/2007 Sb. hl. m. Prahy, obecně závazné vyhlášky č. 8/2007 Sb. hl. m. Prahy, obecně závazné vyhlášky č. 10/2007 Sb. hl. m. Prahy, obecně závazné vyhlášky č. 13/2007 Sb. hl. m. Prahy, obecně závazné vyhlášky č. 14/2007 Sb. hl. m. Prahy, obecně závazné vyhlášky č. 15/2007 Sb. hl. m. Prahy, obecně závazné vyhlášky č. 1/2008 Sb. hl. m. Prahy, obecně závazné vyhlášky č. 4/2008 Sb. hl. m. Prahy, obecně závazné vyhlášky č. 6/2008 Sb. hl. m. Prahy, obecně závazné vyhlášky č. 7/2008 Sb. hl. m. Prahy, obecně závazné vyhlášky č. 9/2008 Sb. hl. m. Prahy, obecně závazné vyhlášky č. 13/2008 Sb. hl. m. Prahy, obecně závazné vyhlášky č. 16/2008 Sb. hl. m. Prahy, obecně závazné vyhlášky č. 17/2008 Sb. hl. m. Prahy, obecně závazné vyhlášky č. 18/2008 Sb. hl. m. Prahy, obecně závazné vyhlášky č. 22/2008 Sb. hl. m. Prahy, obecně závazné vyhlášky č. 1/2009 Sb. hl. m. Prahy, obecně závazné vyhlášky č. 2/2009 Sb. hl. m. Prahy, obecně závazné vyhlášky č. 3/2009 Sb. hl. m. Prahy, obecně závazné vyhlášky č. 6/2009 Sb. hl. m. Prahy, obecně závazné vyhlášky č. 8/2009 Sb. hl. m. Prahy, obecně závazné vyhlášky č. 9/2009 Sb. hl. m. Prahy, obecně závazné vyhlášky č. 12/2009 Sb. hl. m. Prahy, obecně závazné vyhlášky č. 13/2009 Sb. hl. m. Prahy, obecně závazné vyhlášky č. 17/2009 Sb. hl. m. Prahy, obecně závazné vyhlášky č. 22/2009 Sb. hl. m. Prahy, obecně závazné vyhlášky č. 1/2010 Sb. hl. m. Prahy, obecně závazné vyhlášky č. 3/2010 Sb. hl. m. Prahy, obecně závazné vyhlášky č. 4/2010 Sb. hl. m. Prahy, obecně závazné vyhlášky č. 6/2010 Sb. hl. m. Prahy, obecně závazné vyhlášky č. 8/2010 Sb. hl. m. Prahy, obecně závazné vyhlášky č. 14/2010 Sb. hl. m. Prahy, obecně závazné vyhlášky č. 2/2011 Sb. hl. m. Prahy, obecně závazné vyhlášky č. 3/2011 Sb. hl. m. Prahy, obecně závazné vyhlášky č. 4/2011 Sb. hl. m. Prahy, obecně závazné vyhlášky č. 11/2011 Sb. hl. m. Prahy, obecně závazné vyhlášky č. 15/2011 Sb. hl. m. Prahy, obecně závazné vyhlášky č. 16/2011 Sb. hl. m. Prahy, obecně závazné vyhlášky č. 23/2011 Sb. hl. m. Prahy, obecně závazné vyhlášky č. 4/2012 Sb. hl. m. Prahy, obecně závazné vyhlášky č. 6/2012 Sb. hl. m. Prahy, obecně závazné vyhlášky č. 8/2012 Sb. hl. m. Prahy, obecně závazné vyhlášky č. 10/2012 Sb. hl. m. Prahy, obecně závazné vyhlášky č. 13/2012 Sb. hl. m. Prahy, obecně závazné vyhlášky č. 16/2012 Sb. hl. m. Prahy, obecně závazné vyhlášky č. 17/2012 Sb. hl. m. Prahy, obecně závazné vyhlášky č. 20/2012 Sb. hl. m. Prahy, obecně závazné vyhlášky č. 1/2013 Sb. hl. m. Prahy, obecně závazné vyhlášky č. 4/2013 Sb. hl. m. Prahy, obecně závazné vyhlášky č. 6/2013 Sb. hl. m. Prahy, obecně závazné vyhlášky č. 8/2013 Sb. hl. m. Prahy, obecně závazné vyhlášky č. 12/2013 Sb. hl. m. Prahy, obecně závazné vyhlášky č. 15/2013 Sb. hl. m. Prahy, obecně závazné vyhlášky č. 21/2013 Sb. hl. m. Prahy, obecně závazné vyhlášky č. 3/2014 Sb. hl. m. Prahy, obecně závazné vyhlášky č. 4/2014 Sb. hl. m. Prahy, obecně závazné vyhlášky č. 7/2014 Sb. hl. m. Prahy, obecně závazné vyhlášky č. 8/2014 Sb. hl. m. Prahy, obecně závazné vyhlášky č. 9/2014 Sb. hl. m. Prahy, obecně závazné vyhlášky č. 12/2014 Sb. hl. m. Prahy, obecně závazné vyhlášky č. 21/2014 Sb. hl. m. Prahy, obecně závazné vyhlášky č. 1/2015 Sb. hl. m. Prahy, obecně závazné vyhlášky č. 2/2015 Sb. hl. m. Prahy, obecně závazné vyhlášky č. 3/2015 Sb. hl. m. Prahy, obecně závazné vyhlášky č. 4/2015 Sb. hl. m. Prahy, obecně závazné vyhlášky č. 5/2015 Sb. hl. m. Prahy a obecně závazné vyhlášky </w:t>
      </w:r>
      <w:r>
        <w:rPr>
          <w:rFonts w:eastAsia="Times New Roman" w:cs="Times New Roman" w:ascii="Times New Roman" w:hAnsi="Times New Roman"/>
          <w:color w:val="000000" w:themeColor="text1"/>
          <w:lang w:eastAsia="cs-CZ"/>
        </w:rPr>
        <w:t>č. 6/2015 Sb. hl. m. Prahy</w:t>
      </w:r>
      <w:r>
        <w:rPr>
          <w:rFonts w:eastAsia="Times New Roman" w:cs="Times New Roman" w:ascii="Times New Roman" w:hAnsi="Times New Roman"/>
          <w:color w:val="000000"/>
          <w:lang w:eastAsia="cs-CZ"/>
        </w:rPr>
        <w:t>, se mění takto:</w:t>
      </w:r>
    </w:p>
    <w:p>
      <w:pPr>
        <w:pStyle w:val="Normal"/>
        <w:keepNext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keepNext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  <w:t>V příloze č. 3 se za položku č. 102 vkládá nová položka č. 103, která zní:</w:t>
      </w:r>
    </w:p>
    <w:p>
      <w:pPr>
        <w:pStyle w:val="Normal"/>
        <w:keepNext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tbl>
      <w:tblPr>
        <w:tblStyle w:val="Mkatabulky1"/>
        <w:tblW w:w="8647" w:type="dxa"/>
        <w:jc w:val="left"/>
        <w:tblInd w:w="675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3"/>
        <w:gridCol w:w="1418"/>
        <w:gridCol w:w="6096"/>
      </w:tblGrid>
      <w:tr>
        <w:trPr/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spacing w:before="0" w:after="20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szCs w:val="22"/>
                <w:lang w:eastAsia="en-US"/>
              </w:rPr>
              <w:t>Předpis</w:t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spacing w:before="0" w:after="20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szCs w:val="22"/>
                <w:lang w:eastAsia="en-US"/>
              </w:rPr>
              <w:t>§</w:t>
            </w:r>
          </w:p>
        </w:tc>
        <w:tc>
          <w:tcPr>
            <w:tcW w:w="60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spacing w:before="0" w:after="20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szCs w:val="22"/>
                <w:lang w:eastAsia="en-US"/>
              </w:rPr>
              <w:t>Předmět působnosti</w:t>
            </w:r>
          </w:p>
        </w:tc>
      </w:tr>
      <w:tr>
        <w:trPr/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spacing w:before="0" w:after="200"/>
              <w:ind w:right="0" w:hanging="0"/>
              <w:contextualSpacing/>
              <w:rPr>
                <w:rFonts w:ascii="Times New Roman" w:hAnsi="Times New Roman"/>
              </w:rPr>
            </w:pPr>
            <w:r>
              <w:rPr>
                <w:rFonts w:eastAsia="Calibri"/>
                <w:szCs w:val="22"/>
                <w:lang w:eastAsia="en-US"/>
              </w:rPr>
              <w:t>zákon č.</w:t>
            </w:r>
            <w:r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Cs w:val="22"/>
                <w:lang w:eastAsia="en-US"/>
              </w:rPr>
              <w:t>361/2000 Sb.</w:t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spacing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Cs w:val="22"/>
                <w:lang w:eastAsia="en-US"/>
              </w:rPr>
              <w:t>124 odst. 5 písm. j)</w:t>
            </w:r>
          </w:p>
        </w:tc>
        <w:tc>
          <w:tcPr>
            <w:tcW w:w="60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spacing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Cs w:val="22"/>
                <w:lang w:eastAsia="en-US"/>
              </w:rPr>
              <w:t>projednávání přestupků proti bezpečnosti a plynulosti provozu na pozemních komunikacích spáchaných porušením dopravní značky č. IP 12 a IP 13c (vyhláška č. 294/2015 Sb.) výhradně v souvislosti s narušením režimu parkování v zónách placeného stání zřízených na území příslušné městské části</w:t>
            </w:r>
          </w:p>
        </w:tc>
      </w:tr>
    </w:tbl>
    <w:p>
      <w:pPr>
        <w:pStyle w:val="Normal"/>
        <w:keepNext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keepNext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  <w:t>Dosavadní položky č. 103 až 114 se označují jako položky č. 104 až 115.</w:t>
      </w:r>
    </w:p>
    <w:p>
      <w:pPr>
        <w:pStyle w:val="Normal"/>
        <w:keepNext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  <w:r>
        <w:br w:type="page"/>
      </w:r>
    </w:p>
    <w:p>
      <w:pPr>
        <w:pStyle w:val="Normal"/>
        <w:keepNext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bookmarkStart w:id="0" w:name="_GoBack"/>
      <w:bookmarkStart w:id="1" w:name="_GoBack"/>
      <w:bookmarkEnd w:id="1"/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keepNext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V příloze č. 4 části A položky č. 147 až 151 znějí:</w:t>
      </w:r>
    </w:p>
    <w:p>
      <w:pPr>
        <w:pStyle w:val="Normal"/>
        <w:keepNext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tbl>
      <w:tblPr>
        <w:tblW w:w="932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4"/>
        <w:gridCol w:w="1134"/>
        <w:gridCol w:w="1418"/>
        <w:gridCol w:w="6095"/>
      </w:tblGrid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lang w:eastAsia="cs-CZ"/>
              </w:rPr>
              <w:t>Pol.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lang w:eastAsia="cs-CZ"/>
              </w:rPr>
              <w:t>Předpis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lang w:eastAsia="cs-CZ"/>
              </w:rPr>
              <w:t>|§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lang w:eastAsia="cs-CZ"/>
              </w:rPr>
              <w:t>Předmět působnosti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147.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zákon č. 13/1997 Sb.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40 odst. 4 písm. a)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výkon působnosti silničního správního úřadu a speciálního stavebního úřadu ve věcech silnic II. a III. třídy a veřejně přístupných účelových komunikací s výjimkou věcí, o kterých rozhoduje Ministerstvo dopravy nebo krajský úřad</w:t>
            </w:r>
          </w:p>
        </w:tc>
      </w:tr>
      <w:tr>
        <w:trPr>
          <w:trHeight w:val="929" w:hRule="exact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148.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eastAsiaTheme="minorEastAsia" w:ascii="Times New Roman" w:hAnsi="Times New Roman"/>
                <w:lang w:eastAsia="cs-CZ"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40 odst. 4 písm. b)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výkon působnosti silničního správního úřadu ve věci povolování zřízení přejezdu na neveřejně účelové komunikaci</w:t>
            </w:r>
          </w:p>
        </w:tc>
      </w:tr>
      <w:tr>
        <w:trPr>
          <w:trHeight w:val="3186" w:hRule="exact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149.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eastAsiaTheme="minorEastAsia" w:ascii="Times New Roman" w:hAnsi="Times New Roman"/>
                <w:lang w:eastAsia="cs-CZ"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40 odst. 4 písm. c)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projednávání přestupků podle § 42a ve věcech silnic II. a III. třídy, místních komunikací a veřejně přístupných účelových komunikací, s výjimkou vozovek místních komunikací I. třídy, a projednávání správních deliktů podle § 42b ve věcech silnic II. a III. třídy, místních komunikací a veřejně přístupných účelových komunikací, s výjimkou vozovek komunikací I. třídy,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eastAsiaTheme="minorEastAsia" w:ascii="Times New Roman" w:hAnsi="Times New Roman"/>
                <w:lang w:eastAsia="cs-CZ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a s výjimkou přestupku podle 42a odst. 4 písm. e), a s výjimkou správních deliktů podle § 42b odst. 1 písm. s), t), u) a v)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150.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eastAsiaTheme="minorEastAsia" w:ascii="Times New Roman" w:hAnsi="Times New Roman"/>
                <w:lang w:eastAsia="cs-CZ"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40 odst. 4 písm. d)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uplatňování závazných stanovisek v územním řízení z hlediska řešení místních komunikací II., III. a IV. třídy a účelových komunikací</w:t>
            </w:r>
          </w:p>
        </w:tc>
      </w:tr>
      <w:tr>
        <w:trPr>
          <w:trHeight w:val="4756" w:hRule="atLeast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151.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eastAsiaTheme="minorEastAsia" w:ascii="Times New Roman" w:hAnsi="Times New Roman"/>
                <w:lang w:eastAsia="cs-CZ"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40 odst. 5 písm. b)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výkon působnosti silničního správního úřadu ve věci místních komunikací, s výjimkou vozovek místních komunikací I. třídy a úseků místních komunikací II., III. a IV. třídy, na nichž je osazeno: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eastAsiaTheme="minorEastAsia" w:ascii="Times New Roman" w:hAnsi="Times New Roman"/>
                <w:lang w:eastAsia="cs-CZ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1.</w:t>
              <w:tab/>
              <w:t>světelné signalizační zařízení včetně zařízení souvisejících se světelným signalizačním zařízením v rámci systému řízení a regulace městského silničního provozu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2.</w:t>
              <w:tab/>
              <w:t xml:space="preserve">zařízení pro provozní informace městského systému informování účastníků dopravy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3.</w:t>
              <w:tab/>
              <w:t>zařízení pro telematiku a ve věcech veřejně přístupných účelových komunikací s výjimkou veřejně přístupných účelových komunikací Aviatická a Schengenská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eastAsiaTheme="minorEastAsia" w:ascii="Times New Roman" w:hAnsi="Times New Roman"/>
                <w:lang w:eastAsia="cs-CZ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" w:cs="Times New Roman" w:eastAsiaTheme="minorEastAsia"/>
                <w:lang w:eastAsia="cs-CZ"/>
              </w:rPr>
            </w:pPr>
            <w:r>
              <w:rPr>
                <w:rFonts w:eastAsia="" w:cs="Times New Roman" w:ascii="Times New Roman" w:hAnsi="Times New Roman" w:eastAsiaTheme="minorEastAsia"/>
                <w:lang w:eastAsia="cs-CZ"/>
              </w:rPr>
              <w:t>výkon působnosti speciálního stavebního úřadu ve věcech místních komunikací s výjimkou místních komunikací I. třídy a s výjimkou věcí, které si vyhradí jejich nadřízený stavební úřad v souladu s § 17 zákona č. 183/2006 Sb.</w:t>
            </w:r>
          </w:p>
        </w:tc>
      </w:tr>
    </w:tbl>
    <w:p>
      <w:pPr>
        <w:pStyle w:val="Normal"/>
        <w:keepNext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  <w:r>
        <w:br w:type="page"/>
      </w:r>
    </w:p>
    <w:p>
      <w:pPr>
        <w:pStyle w:val="Normal"/>
        <w:keepNext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 xml:space="preserve"> </w:t>
      </w:r>
    </w:p>
    <w:p>
      <w:pPr>
        <w:pStyle w:val="Normal"/>
        <w:keepNext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V příloze č. 4 části A se za položku č. 157 vkládá nová položka č. 158, která zní:</w:t>
      </w:r>
    </w:p>
    <w:p>
      <w:pPr>
        <w:pStyle w:val="Normal"/>
        <w:keepNext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tbl>
      <w:tblPr>
        <w:tblW w:w="8647" w:type="dxa"/>
        <w:jc w:val="left"/>
        <w:tblInd w:w="6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3"/>
        <w:gridCol w:w="1418"/>
        <w:gridCol w:w="6096"/>
      </w:tblGrid>
      <w:tr>
        <w:trPr/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Předpis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|§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Předmět působnosti</w:t>
            </w:r>
          </w:p>
        </w:tc>
      </w:tr>
      <w:tr>
        <w:trPr>
          <w:trHeight w:val="1316" w:hRule="atLeast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zákon č.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168/1999 Sb.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 odst. 4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projednávání přestupků za provozování vozidla na pozemní komunikaci bez pojištění odpovědnosti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keepNext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keepNext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  <w:t>Dosavadní položky č. 158 až 443 se označují jako položky č. 159 až 444.</w:t>
      </w:r>
    </w:p>
    <w:p>
      <w:pPr>
        <w:pStyle w:val="Normal"/>
        <w:keepNext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keepNext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V příloze č. 4 se část C zrušuje.</w:t>
      </w:r>
    </w:p>
    <w:p>
      <w:pPr>
        <w:pStyle w:val="Normal"/>
        <w:keepNext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keepNext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cs-CZ"/>
        </w:rPr>
        <w:t>Čl. II</w:t>
      </w:r>
    </w:p>
    <w:p>
      <w:pPr>
        <w:pStyle w:val="Normal"/>
        <w:keepNext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keepNext/>
        <w:spacing w:lineRule="auto" w:line="240" w:before="0" w:after="0"/>
        <w:ind w:left="709" w:firstLine="709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keepNext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  <w:t>Tato vyhláška nabývá účinnosti dnem 1. dubna. 2016.</w:t>
      </w:r>
    </w:p>
    <w:p>
      <w:pPr>
        <w:pStyle w:val="Normal"/>
        <w:keepNext/>
        <w:spacing w:lineRule="auto" w:line="240" w:before="0" w:after="0"/>
        <w:ind w:left="709" w:firstLine="709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keepNext/>
        <w:spacing w:lineRule="auto" w:line="240" w:before="0" w:after="0"/>
        <w:ind w:left="709" w:firstLine="709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keepNext/>
        <w:spacing w:lineRule="auto" w:line="240" w:before="0" w:after="0"/>
        <w:ind w:left="709" w:firstLine="709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keepNext/>
        <w:spacing w:lineRule="auto" w:line="240" w:before="0" w:after="0"/>
        <w:ind w:left="709" w:firstLine="709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keepNext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  <w:t xml:space="preserve">Adriana Krnáčová, </w:t>
      </w:r>
    </w:p>
    <w:p>
      <w:pPr>
        <w:pStyle w:val="Normal"/>
        <w:keepNext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  <w:t>primátorka hl. m. Prahy</w:t>
      </w:r>
    </w:p>
    <w:p>
      <w:pPr>
        <w:pStyle w:val="Normal"/>
        <w:keepNext/>
        <w:spacing w:lineRule="auto" w:line="240" w:before="0" w:after="0"/>
        <w:ind w:left="2127" w:firstLine="709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keepNext/>
        <w:spacing w:lineRule="auto" w:line="240" w:before="0" w:after="0"/>
        <w:ind w:left="2127" w:firstLine="709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keepNext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  <w:t>Petr Dolínek</w:t>
      </w:r>
    </w:p>
    <w:p>
      <w:pPr>
        <w:pStyle w:val="Normal"/>
        <w:keepNext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  <w:t>náměstek primátorky hl. m. Prahy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first" r:id="rId2"/>
      <w:type w:val="nextPage"/>
      <w:pgSz w:w="11906" w:h="16838"/>
      <w:pgMar w:left="2381" w:right="964" w:header="0" w:top="1079" w:footer="0" w:bottom="680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tabs>
        <w:tab w:val="center" w:pos="4536" w:leader="none"/>
        <w:tab w:val="right" w:pos="9072" w:leader="none"/>
      </w:tabs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04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val="cs-CZ" w:bidi="ar-SA"/>
    </w:rPr>
  </w:style>
  <w:style w:type="paragraph" w:styleId="Nadpis1">
    <w:name w:val="Nadpis 1"/>
    <w:basedOn w:val="Normal"/>
    <w:qFormat/>
    <w:pPr>
      <w:keepNext/>
      <w:overflowPunct w:val="true"/>
      <w:textAlignment w:val="baseline"/>
      <w:outlineLvl w:val="0"/>
    </w:pPr>
    <w:rPr>
      <w:szCs w:val="20"/>
    </w:rPr>
  </w:style>
  <w:style w:type="paragraph" w:styleId="Nadpis2">
    <w:name w:val="Nadpis 2"/>
    <w:basedOn w:val="Normal"/>
    <w:qFormat/>
    <w:pPr>
      <w:keepNext/>
      <w:spacing w:lineRule="atLeast" w:line="240"/>
      <w:outlineLvl w:val="1"/>
    </w:pPr>
    <w:rPr>
      <w:b/>
      <w:bCs/>
    </w:rPr>
  </w:style>
  <w:style w:type="paragraph" w:styleId="Nadpis3">
    <w:name w:val="Nadpis 3"/>
    <w:basedOn w:val="Normal"/>
    <w:link w:val="Nadpis3Char"/>
    <w:qFormat/>
    <w:rsid w:val="00494cad"/>
    <w:pPr>
      <w:keepNext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semiHidden/>
    <w:rPr>
      <w:color w:val="0000FF"/>
      <w:u w:val="single"/>
    </w:rPr>
  </w:style>
  <w:style w:type="character" w:styleId="FollowedHyperlink">
    <w:name w:val="FollowedHyperlink"/>
    <w:semiHidden/>
    <w:qFormat/>
    <w:rPr>
      <w:color w:val="800080"/>
      <w:u w:val="single"/>
    </w:rPr>
  </w:style>
  <w:style w:type="character" w:styleId="TextbublinyChar" w:customStyle="1">
    <w:name w:val="Text bubliny Char"/>
    <w:link w:val="Textbubliny"/>
    <w:uiPriority w:val="99"/>
    <w:semiHidden/>
    <w:qFormat/>
    <w:rsid w:val="00964ec0"/>
    <w:rPr>
      <w:rFonts w:ascii="Tahoma" w:hAnsi="Tahoma" w:cs="Tahoma"/>
      <w:sz w:val="16"/>
      <w:szCs w:val="16"/>
    </w:rPr>
  </w:style>
  <w:style w:type="character" w:styleId="Nadpis3Char" w:customStyle="1">
    <w:name w:val="Nadpis 3 Char"/>
    <w:basedOn w:val="DefaultParagraphFont"/>
    <w:link w:val="Nadpis3"/>
    <w:qFormat/>
    <w:rsid w:val="00494cad"/>
    <w:rPr>
      <w:b/>
      <w:sz w:val="22"/>
      <w:szCs w:val="24"/>
    </w:rPr>
  </w:style>
  <w:style w:type="character" w:styleId="Zkladntext3Char" w:customStyle="1">
    <w:name w:val="Základní text 3 Char"/>
    <w:basedOn w:val="DefaultParagraphFont"/>
    <w:link w:val="Zkladntext3"/>
    <w:semiHidden/>
    <w:qFormat/>
    <w:rsid w:val="00494cad"/>
    <w:rPr>
      <w:color w:val="000000"/>
      <w:sz w:val="24"/>
      <w:szCs w:val="24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b w:val="false"/>
      <w:i w:val="false"/>
      <w:sz w:val="24"/>
    </w:rPr>
  </w:style>
  <w:style w:type="character" w:styleId="ListLabel3">
    <w:name w:val="ListLabel 3"/>
    <w:qFormat/>
    <w:rPr>
      <w:b w:val="false"/>
    </w:rPr>
  </w:style>
  <w:style w:type="character" w:styleId="ListLabel4">
    <w:name w:val="ListLabel 4"/>
    <w:qFormat/>
    <w:rPr>
      <w:rFonts w:cs="Times New Roman"/>
      <w:b w:val="false"/>
      <w:sz w:val="24"/>
      <w:szCs w:val="24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lotextu">
    <w:name w:val="Tělo textu"/>
    <w:basedOn w:val="Normal"/>
    <w:semiHidden/>
    <w:pPr>
      <w:overflowPunct w:val="true"/>
      <w:jc w:val="both"/>
      <w:textAlignment w:val="baseline"/>
    </w:pPr>
    <w:rPr>
      <w:szCs w:val="20"/>
    </w:rPr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">
    <w:name w:val="Záhlaví"/>
    <w:basedOn w:val="Normal"/>
    <w:semiHidden/>
    <w:pPr>
      <w:tabs>
        <w:tab w:val="center" w:pos="4536" w:leader="none"/>
        <w:tab w:val="right" w:pos="9072" w:leader="none"/>
      </w:tabs>
    </w:pPr>
    <w:rPr/>
  </w:style>
  <w:style w:type="paragraph" w:styleId="Zpat">
    <w:name w:val="Zápatí"/>
    <w:basedOn w:val="Normal"/>
    <w:semiHidden/>
    <w:pPr>
      <w:tabs>
        <w:tab w:val="center" w:pos="4536" w:leader="none"/>
        <w:tab w:val="right" w:pos="9072" w:leader="none"/>
      </w:tabs>
    </w:pPr>
    <w:rPr/>
  </w:style>
  <w:style w:type="paragraph" w:styleId="Odsazentlatextu">
    <w:name w:val="Odsazení těla textu"/>
    <w:basedOn w:val="Normal"/>
    <w:semiHidden/>
    <w:pPr>
      <w:ind w:left="840" w:hanging="0"/>
    </w:pPr>
    <w:rPr>
      <w:b/>
    </w:rPr>
  </w:style>
  <w:style w:type="paragraph" w:styleId="BodyTextIndent2">
    <w:name w:val="Body Text Indent 2"/>
    <w:basedOn w:val="Normal"/>
    <w:semiHidden/>
    <w:qFormat/>
    <w:pPr>
      <w:ind w:left="840" w:hanging="0"/>
    </w:pPr>
    <w:rPr/>
  </w:style>
  <w:style w:type="paragraph" w:styleId="BodyTextIndent3">
    <w:name w:val="Body Text Indent 3"/>
    <w:basedOn w:val="Normal"/>
    <w:semiHidden/>
    <w:qFormat/>
    <w:pPr>
      <w:ind w:firstLine="708"/>
      <w:jc w:val="both"/>
    </w:pPr>
    <w:rPr>
      <w:color w:val="FF0000"/>
      <w:szCs w:val="20"/>
    </w:rPr>
  </w:style>
  <w:style w:type="paragraph" w:styleId="Nzev">
    <w:name w:val="Název"/>
    <w:basedOn w:val="Normal"/>
    <w:qFormat/>
    <w:pPr>
      <w:jc w:val="center"/>
    </w:pPr>
    <w:rPr>
      <w:i/>
      <w:iCs/>
      <w:u w:val="single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64ec0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semiHidden/>
    <w:qFormat/>
    <w:rsid w:val="00494cad"/>
    <w:pPr>
      <w:keepNext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494cad"/>
    <w:pPr>
      <w:spacing w:before="0" w:after="200"/>
      <w:ind w:left="720" w:hanging="0"/>
      <w:contextualSpacing/>
    </w:pPr>
    <w:rPr/>
  </w:style>
  <w:style w:type="paragraph" w:styleId="Quotations">
    <w:name w:val="Quotations"/>
    <w:basedOn w:val="Normal"/>
    <w:qFormat/>
    <w:pPr/>
    <w:rPr/>
  </w:style>
  <w:style w:type="paragraph" w:styleId="Podtitul">
    <w:name w:val="Podtitul"/>
    <w:basedOn w:val="Nadpis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uiPriority w:val="59"/>
    <w:rsid w:val="00cb04f0"/>
    <w:rPr>
      <w:lang w:eastAsia="en-US"/>
      <w:sz w:val="22"/>
      <w:szCs w:val="2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">
    <w:name w:val="Table Grid"/>
    <w:basedOn w:val="Normlntabulka"/>
    <w:uiPriority w:val="59"/>
    <w:rsid w:val="00cb04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MHMP.dot</Template>
  <TotalTime>0</TotalTime>
  <Application>LibreOffice/4.4.4.3$Windows_x86 LibreOffice_project/2c39ebcf046445232b798108aa8a7e7d89552ea8</Application>
  <Paragraphs>56</Paragraphs>
  <Company>MHMP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2014-07-08T12:27:00Z</dcterms:created>
  <dc:creator>INF</dc:creator>
  <dc:language>cs-CZ</dc:language>
  <cp:lastModifiedBy>Čadský Miroslav (MHMP, RFD)</cp:lastModifiedBy>
  <cp:lastPrinted>2014-06-30T06:17:00Z</cp:lastPrinted>
  <dcterms:modified xsi:type="dcterms:W3CDTF">2015-12-29T13:29:00Z</dcterms:modified>
  <cp:revision>10</cp:revision>
  <dc:title>Na základě Vaší žádosti na určení tříd komunikací Rezidenční čtvrti Sladovny v Praze 6 sdělujeme následující: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MHMP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