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spacing w:lineRule="auto" w:line="240" w:before="0" w:after="0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keepNext/>
        <w:spacing w:lineRule="auto" w:line="240" w:before="0" w:after="0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keepNext/>
        <w:numPr>
          <w:ilvl w:val="0"/>
          <w:numId w:val="0"/>
        </w:numPr>
        <w:overflowPunct w:val="true"/>
        <w:spacing w:lineRule="auto" w:line="240" w:before="0" w:after="0"/>
        <w:ind w:firstLine="720"/>
        <w:jc w:val="center"/>
        <w:outlineLvl w:val="0"/>
        <w:rPr>
          <w:rFonts w:ascii="Times New Roman" w:hAnsi="Times New Roman" w:eastAsia="Times New Roman" w:cs="Times New Roman"/>
          <w:b/>
          <w:b/>
          <w:lang w:eastAsia="cs-CZ"/>
        </w:rPr>
      </w:pPr>
      <w:r>
        <w:rPr>
          <w:rFonts w:eastAsia="Times New Roman" w:cs="Times New Roman" w:ascii="Times New Roman" w:hAnsi="Times New Roman"/>
          <w:b/>
          <w:lang w:eastAsia="cs-CZ"/>
        </w:rPr>
        <w:t>OBECNĚ ZÁVAZNÁ VYHLÁŠKA,</w:t>
      </w:r>
    </w:p>
    <w:p>
      <w:pPr>
        <w:pStyle w:val="Normal"/>
        <w:keepNext/>
        <w:spacing w:lineRule="auto" w:line="240" w:before="0" w:after="0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keepNext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cs-CZ"/>
        </w:rPr>
      </w:pPr>
      <w:r>
        <w:rPr>
          <w:rFonts w:eastAsia="Times New Roman" w:cs="Times New Roman" w:ascii="Times New Roman" w:hAnsi="Times New Roman"/>
          <w:b/>
          <w:lang w:eastAsia="cs-CZ"/>
        </w:rPr>
        <w:t>kterou se mění obecně závazná vyhláška č. 55/2000 Sb. hl. m. Prahy, kterou se vydává Statut hlavního města Prahy ve znění pozdějších předpisů</w:t>
      </w:r>
    </w:p>
    <w:p>
      <w:pPr>
        <w:pStyle w:val="Normal"/>
        <w:keepNext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keepNext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>Zastupitelstvo hlavního města Prahy se usneslo dne xx.yy.2015 vydat podle § 17 odst. 3 zákona č. 131/2000 Sb., o hlavním městě Praze, tuto obecně závaznou vyhlášku:</w:t>
      </w:r>
    </w:p>
    <w:p>
      <w:pPr>
        <w:pStyle w:val="Normal"/>
        <w:keepNext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lang w:eastAsia="cs-CZ"/>
        </w:rPr>
      </w:pPr>
      <w:r>
        <w:rPr>
          <w:rFonts w:eastAsia="Times New Roman" w:cs="Times New Roman" w:ascii="Times New Roman" w:hAnsi="Times New Roman"/>
          <w:b/>
          <w:bCs/>
          <w:lang w:eastAsia="cs-CZ"/>
        </w:rPr>
        <w:t>Čl. I</w:t>
      </w:r>
    </w:p>
    <w:p>
      <w:pPr>
        <w:pStyle w:val="Normal"/>
        <w:keepNext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lang w:eastAsia="cs-CZ"/>
        </w:rPr>
      </w:pPr>
      <w:r>
        <w:rPr>
          <w:rFonts w:eastAsia="Times New Roman" w:cs="Times New Roman" w:ascii="Times New Roman" w:hAnsi="Times New Roman"/>
          <w:b/>
          <w:bCs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cs-CZ"/>
        </w:rPr>
      </w:pPr>
      <w:r>
        <w:rPr>
          <w:rFonts w:eastAsia="Times New Roman" w:cs="Times New Roman" w:ascii="Times New Roman" w:hAnsi="Times New Roman"/>
          <w:color w:val="000000"/>
          <w:lang w:eastAsia="cs-CZ"/>
        </w:rPr>
        <w:t xml:space="preserve">Obecně závazná vyhláška č. 55/2000 Sb. hl. m. Prahy, kterou se vydává Statut hlavního města Prahy, ve znění obecně závazné vyhlášky č. 15/2001 Sb. hl. m. Prahy, obecně závazné vyhlášky č. 18/2001 Sb. hl. m. Prahy, obecně závazné vyhlášky č. 19/2001 Sb. hl. m. Prahy, obecně závazné vyhlášky č. 21/2001 Sb. hl. m. Prahy, obecně závazné vyhlášky č. 22/2001 Sb. hl. m. Prahy, obecně závazné vyhlášky č. 28/2001 Sb. hl. m. Prahy, obecně závazné vyhlášky č. 29/2001 Sb. hl. m. Prahy, obecně závazné vyhlášky č. 1/2002 Sb. hl. m. Prahy, obecně závazné vyhlášky č. 3/2002 Sb. hl. m. Prahy, obecně závazné vyhlášky č. 5/2002 Sb. hl. m. Prahy, obecně závazné vyhlášky č. 8/2002 Sb. hl. m. Prahy, </w:t>
      </w:r>
      <w:r>
        <w:rPr>
          <w:rFonts w:eastAsia="Times New Roman" w:cs="Times New Roman" w:ascii="Times New Roman" w:hAnsi="Times New Roman"/>
          <w:color w:val="000000" w:themeColor="text1"/>
          <w:lang w:eastAsia="cs-CZ"/>
        </w:rPr>
        <w:t xml:space="preserve">obecně závazné vyhlášky č. 9/2002 Sb. hl. m. Prahy, </w:t>
      </w:r>
      <w:r>
        <w:rPr>
          <w:rFonts w:eastAsia="Times New Roman" w:cs="Times New Roman" w:ascii="Times New Roman" w:hAnsi="Times New Roman"/>
          <w:color w:val="000000"/>
          <w:lang w:eastAsia="cs-CZ"/>
        </w:rPr>
        <w:t xml:space="preserve">obecně závazné vyhlášky č. 11/2002 Sb. hl. m. Prahy, obecně závazné vyhlášky č. 12/2002 Sb. hl. m. Prahy, obecně závazné vyhlášky č. 13/2002 Sb. hl. m. Prahy, obecně závazné vyhlášky č. 16/2002 Sb. hl. m. Prahy, obecně závazné vyhlášky č. 23/2002 Sb. hl. m. Prahy, obecně závazné vyhlášky č. 26/2002 Sb. hl. m. Prahy, obecně závazné vyhlášky č. 27/2002 Sb. hl. m. Prahy, obecně závazné vyhlášky č. 28/2002 Sb. hl. m. Prahy, obecně závazné vyhlášky č. 29/2002 Sb. hl. m. Prahy, obecně závazné vyhlášky č. 1/2003 Sb. hl. m. Prahy, obecně závazné vyhlášky č. 2/2003 Sb. hl. m. Prahy, obecně závazné vyhlášky č. 3/2003 Sb. hl. m. Prahy, obecně závazné vyhlášky č. 9/2003 Sb. hl. m. Prahy, obecně závazné vyhlášky č. 10/2003 Sb. hl. m. Prahy, obecně závazné vyhlášky č. 13/2003 Sb. hl. m. Prahy, obecně závazné vyhlášky č. 16/2003 Sb. hl. m. Prahy, obecně závazné vyhlášky č. 17/2003 Sb. hl. m. Prahy, obecně závazné vyhlášky č. 19/2003 Sb. hl. m. Prahy, obecně závazné vyhlášky č. 22/2003 Sb. hl. m. Prahy, obecně závazné vyhlášky č. 29/2003 Sb. hl. m. Prahy, obecně závazné vyhlášky č. 32/2003 Sb. hl. m. Prahy, obecně závazné vyhlášky č. 33/2003 Sb. hl. m. Prahy, obecně závazné vyhlášky č. 35/2003 Sb. hl. m. Prahy, obecně závazné vyhlášky č. 1/2004 Sb. hl. m. Prahy, obecně závazné vyhlášky č. 4/2004 Sb. hl. m. Prahy, obecně závazné vyhlášky č. 8/2004 Sb. hl. m. Prahy, obecně závazné vyhlášky č. 9/2004 Sb. hl. m. Prahy, obecně závazné vyhlášky č. 11/2004 Sb. hl. m. Prahy, obecně závazné vyhlášky č. 12/2004 Sb. hl. m. Prahy, obecně závazné vyhlášky č. 16/2004 Sb. hl. m. Prahy, obecně závazné vyhlášky č. 17/2004 Sb. hl. m. Prahy, obecně závazné vyhlášky č. 22/2004 Sb. hl. m. Prahy, obecně závazné vyhlášky č. 25/2004 Sb. hl. m. Prahy, obecně závazné vyhlášky č. 3/2005 Sb. hl. m. Prahy, obecně závazné vyhlášky č. 5/2005 Sb. hl. m. Prahy, obecně závazné vyhlášky č. 8/2005 Sb. hl. m. Prahy, obecně závazné vyhlášky č. 10/2005 Sb. hl. m. Prahy, obecně závazné vyhlášky č. 12/2005 Sb. hl. m. Prahy, obecně závazné vyhlášky č. 14/2005 Sb. hl. m. Prahy, obecně závazné vyhlášky č. 18/2005 Sb. hl. m. Prahy, obecně závazné vyhlášky č. 22/2005 Sb. hl. m. Prahy, obecně závazné vyhlášky č. 25/2005 Sb. hl. m. Prahy, obecně závazné vyhlášky č. 29/2005 Sb. hl. m. Prahy, obecně závazné vyhlášky č. 1/2006 Sb. hl. m. Prahy, obecně závazné vyhlášky č. 2/2006 Sb. hl. m. Prahy, obecně závazné vyhlášky č. 7/2006 Sb. hl. m. Prahy, obecně závazné vyhlášky č. 8/2006 Sb. hl. m. Prahy, obecně závazné vyhlášky č. 10/2006 Sb. hl. m. Prahy, obecně závazné vyhlášky č. 12/2006 Sb. hl. m. Prahy, obecně závazné vyhlášky č. 17/2006 Sb. hl. m. Prahy, obecně závazné vyhlášky č. 25/2006 Sb. hl. m. Prahy, obecně závazné vyhlášky č. 1/2007 Sb. hl. m. Prahy, obecně závazné vyhlášky č. 3/2007 Sb. hl. m. Prahy, obecně závazné vyhlášky č. 4/2007 Sb. hl. m. Prahy, obecně závazné vyhlášky č. 6/2007 Sb. hl. m. Prahy, obecně závazné vyhlášky č. 8/2007 Sb. hl. m. Prahy, obecně závazné vyhlášky č. 10/2007 Sb. hl. m. Prahy, obecně závazné vyhlášky č. 13/2007 Sb. hl. m. Prahy, obecně závazné vyhlášky č. 14/2007 Sb. hl. m. Prahy, obecně závazné vyhlášky č. 15/2007 Sb. hl. m. Prahy, obecně závazné vyhlášky č. 1/2008 Sb. hl. m. Prahy, obecně závazné vyhlášky č. 4/2008 Sb. hl. m. Prahy, obecně závazné vyhlášky č. 6/2008 Sb. hl. m. Prahy, obecně závazné vyhlášky č. 7/2008 Sb. hl. m. Prahy, obecně závazné vyhlášky č. 9/2008 Sb. hl. m. Prahy, obecně závazné vyhlášky č. 13/2008 Sb. hl. m. Prahy, obecně závazné vyhlášky č. 16/2008 Sb. hl. m. Prahy, obecně závazné vyhlášky č. 17/2008 Sb. hl. m. Prahy, obecně závazné vyhlášky č. 18/2008 Sb. hl. m. Prahy, obecně závazné vyhlášky č. 22/2008 Sb. hl. m. Prahy, obecně závazné vyhlášky č. 1/2009 Sb. hl. m. Prahy, obecně závazné vyhlášky č. 2/2009 Sb. hl. m. Prahy, obecně závazné vyhlášky č. 3/2009 Sb. hl. m. Prahy, obecně závazné vyhlášky č. 6/2009 Sb. hl. m. Prahy, obecně závazné vyhlášky č. 8/2009 Sb. hl. m. Prahy, obecně závazné vyhlášky č. 9/2009 Sb. hl. m. Prahy, obecně závazné vyhlášky č. 12/2009 Sb. hl. m. Prahy, obecně závazné vyhlášky č. 13/2009 Sb. hl. m. Prahy, obecně závazné vyhlášky č. 17/2009 Sb. hl. m. Prahy, obecně závazné vyhlášky č. 22/2009 Sb. hl. m. Prahy, obecně závazné vyhlášky č. 1/2010 Sb. hl. m. Prahy, obecně závazné vyhlášky č. 3/2010 Sb. hl. m. Prahy, obecně závazné vyhlášky č. 4/2010 Sb. hl. m. Prahy, obecně závazné vyhlášky č. 6/2010 Sb. hl. m. Prahy, obecně závazné vyhlášky č. 8/2010 Sb. hl. m. Prahy, obecně závazné vyhlášky č. 14/2010 Sb. hl. m. Prahy, obecně závazné vyhlášky č. 2/2011 Sb. hl. m. Prahy, obecně závazné vyhlášky č. 3/2011 Sb. hl. m. Prahy, obecně závazné vyhlášky č. 4/2011 Sb. hl. m. Prahy, obecně závazné vyhlášky č. 11/2011 Sb. hl. m. Prahy, obecně závazné vyhlášky č. 15/2011 Sb. hl. m. Prahy, obecně závazné vyhlášky č. 16/2011 Sb. hl. m. Prahy, obecně závazné vyhlášky č. 23/2011 Sb. hl. m. Prahy, obecně závazné vyhlášky č. 4/2012 Sb. hl. m. Prahy, obecně závazné vyhlášky č. 6/2012 Sb. hl. m. Prahy, obecně závazné vyhlášky č. 8/2012 Sb. hl. m. Prahy, obecně závazné vyhlášky č. 10/2012 Sb. hl. m. Prahy, obecně závazné vyhlášky č. 13/2012 Sb. hl. m. Prahy, obecně závazné vyhlášky č. 16/2012 Sb. hl. m. Prahy, obecně závazné vyhlášky č. 17/2012 Sb. hl. m. Prahy, obecně závazné vyhlášky č. 20/2012 Sb. hl. m. Prahy, obecně závazné vyhlášky č. 1/2013 Sb. hl. m. Prahy, obecně závazné vyhlášky č. 4/2013 Sb. hl. m. Prahy, obecně závazné vyhlášky č. 6/2013 Sb. hl. m. Prahy, obecně závazné vyhlášky č. 8/2013 Sb. hl. m. Prahy, obecně závazné vyhlášky č. 12/2013 Sb. hl. m. Prahy, obecně závazné vyhlášky č. 15/2013 Sb. hl. m. Prahy, obecně závazné vyhlášky č. 21/2013 Sb. hl. m. Prahy, obecně závazné vyhlášky č. 3/2014 Sb. hl. m. Prahy, obecně závazné vyhlášky č. 4/2014 Sb. hl. m. Prahy, obecně závazné vyhlášky č. 7/2014 Sb. hl. m. Prahy, obecně závazné vyhlášky č. 8/2014 Sb. hl. m. Prahy, obecně závazné vyhlášky č. 9/2014 Sb. hl. m. Prahy, obecně závazné vyhlášky č. 12/2014 Sb. hl. m. Prahy, obecně závazné vyhlášky č. 21/2014 Sb. hl. m. Prahy, obecně závazné vyhlášky č. 1/2015 Sb. hl. m. Prahy, obecně závazné vyhlášky č. 2/2015 Sb. hl. m. Prahy, obecně závazné vyhlášky č. 3/2015 Sb. hl. m. Prahy, obecně závazné vyhlášky č. 4/2015 Sb. hl. m. Prahy, obecně závazné vyhlášky č. 5/2015 Sb. hl. m. Prahy a obecně závazné vyhlášky </w:t>
      </w:r>
      <w:r>
        <w:rPr>
          <w:rFonts w:eastAsia="Times New Roman" w:cs="Times New Roman" w:ascii="Times New Roman" w:hAnsi="Times New Roman"/>
          <w:color w:val="000000" w:themeColor="text1"/>
          <w:lang w:eastAsia="cs-CZ"/>
        </w:rPr>
        <w:t>č. 6/2015 Sb. hl. m. Prahy</w:t>
      </w:r>
      <w:r>
        <w:rPr>
          <w:rFonts w:eastAsia="Times New Roman" w:cs="Times New Roman" w:ascii="Times New Roman" w:hAnsi="Times New Roman"/>
          <w:color w:val="000000"/>
          <w:lang w:eastAsia="cs-CZ"/>
        </w:rPr>
        <w:t>, se mění takto:</w:t>
      </w:r>
    </w:p>
    <w:p>
      <w:pPr>
        <w:pStyle w:val="Normal"/>
        <w:keepNext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keepNext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>V příloze č. 3 se za položku č. 102 vkládá nová položka č. 103, která zní:</w:t>
      </w:r>
    </w:p>
    <w:p>
      <w:pPr>
        <w:pStyle w:val="Normal"/>
        <w:keepNext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tbl>
      <w:tblPr>
        <w:tblStyle w:val="Mkatabulky1"/>
        <w:tblW w:w="8647" w:type="dxa"/>
        <w:jc w:val="left"/>
        <w:tblInd w:w="675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33"/>
        <w:gridCol w:w="1418"/>
        <w:gridCol w:w="6096"/>
      </w:tblGrid>
      <w:tr>
        <w:trPr/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spacing w:before="0" w:after="200"/>
              <w:contextualSpacing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ascii="Times New Roman" w:hAnsi="Times New Roman"/>
                <w:b/>
                <w:szCs w:val="22"/>
                <w:lang w:eastAsia="en-US"/>
              </w:rPr>
              <w:t>Předpis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spacing w:before="0" w:after="200"/>
              <w:contextualSpacing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ascii="Times New Roman" w:hAnsi="Times New Roman"/>
                <w:b/>
                <w:szCs w:val="22"/>
                <w:lang w:eastAsia="en-US"/>
              </w:rPr>
              <w:t>§</w:t>
            </w:r>
          </w:p>
        </w:tc>
        <w:tc>
          <w:tcPr>
            <w:tcW w:w="60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spacing w:before="0" w:after="200"/>
              <w:contextualSpacing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ascii="Times New Roman" w:hAnsi="Times New Roman"/>
                <w:b/>
                <w:szCs w:val="22"/>
                <w:lang w:eastAsia="en-US"/>
              </w:rPr>
              <w:t>Předmět působnosti</w:t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spacing w:before="0" w:after="200"/>
              <w:ind w:right="0" w:hanging="0"/>
              <w:contextualSpacing/>
              <w:rPr>
                <w:rFonts w:ascii="Times New Roman" w:hAnsi="Times New Roman"/>
              </w:rPr>
            </w:pPr>
            <w:r>
              <w:rPr>
                <w:rFonts w:eastAsia="Calibri"/>
                <w:szCs w:val="22"/>
                <w:lang w:eastAsia="en-US"/>
              </w:rPr>
              <w:t>zákon č.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>361/2000 Sb.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spacing w:before="0" w:after="200"/>
              <w:contextualSpacing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Cs w:val="22"/>
                <w:lang w:eastAsia="en-US"/>
              </w:rPr>
              <w:t>124 odst. 5 písm. j)</w:t>
            </w:r>
          </w:p>
        </w:tc>
        <w:tc>
          <w:tcPr>
            <w:tcW w:w="60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spacing w:before="0" w:after="200"/>
              <w:contextualSpacing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zCs w:val="22"/>
                <w:lang w:eastAsia="en-US"/>
              </w:rPr>
              <w:t>projednávání přestupků proti bezpečnosti a plynulosti provozu na pozemních komunikacích spáchaných porušením dopravní značky č. IP 12 a IP 13c (vyhláška č. 294/2015 Sb.) výhradně v souvislosti s narušením režimu parkování v zónách placeného stání zřízených na území příslušné městské části</w:t>
            </w:r>
          </w:p>
        </w:tc>
      </w:tr>
    </w:tbl>
    <w:p>
      <w:pPr>
        <w:pStyle w:val="Normal"/>
        <w:keepNext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keepNext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>Dosavadní položky č. 103 až 114 se označují jako položky č. 104 až 115.</w:t>
      </w:r>
    </w:p>
    <w:p>
      <w:pPr>
        <w:pStyle w:val="Normal"/>
        <w:keepNext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cs-CZ"/>
        </w:rPr>
      </w:pPr>
      <w:r>
        <w:rPr>
          <w:rFonts w:eastAsia="Times New Roman" w:cs="Times New Roman" w:ascii="Times New Roman" w:hAnsi="Times New Roman"/>
          <w:color w:val="000000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lang w:eastAsia="cs-CZ"/>
        </w:rPr>
      </w:pPr>
      <w:r>
        <w:rPr>
          <w:rFonts w:eastAsia="Times New Roman" w:cs="Times New Roman" w:ascii="Times New Roman" w:hAnsi="Times New Roman"/>
          <w:color w:val="000000"/>
          <w:lang w:eastAsia="cs-CZ"/>
        </w:rPr>
      </w:r>
      <w:r>
        <w:br w:type="page"/>
      </w:r>
    </w:p>
    <w:p>
      <w:pPr>
        <w:pStyle w:val="Normal"/>
        <w:keepNext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cs-CZ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lang w:eastAsia="cs-CZ"/>
        </w:rPr>
      </w:r>
    </w:p>
    <w:p>
      <w:pPr>
        <w:pStyle w:val="Normal"/>
        <w:keepNext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cs-CZ"/>
        </w:rPr>
      </w:pPr>
      <w:r>
        <w:rPr>
          <w:rFonts w:eastAsia="Times New Roman" w:cs="Times New Roman" w:ascii="Times New Roman" w:hAnsi="Times New Roman"/>
          <w:color w:val="000000"/>
          <w:lang w:eastAsia="cs-CZ"/>
        </w:rPr>
        <w:t>V příloze č. 4 části A položky č. 147 až 151 znějí:</w:t>
      </w:r>
    </w:p>
    <w:p>
      <w:pPr>
        <w:pStyle w:val="Normal"/>
        <w:keepNext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cs-CZ"/>
        </w:rPr>
      </w:pPr>
      <w:r>
        <w:rPr>
          <w:rFonts w:eastAsia="Times New Roman" w:cs="Times New Roman" w:ascii="Times New Roman" w:hAnsi="Times New Roman"/>
          <w:color w:val="000000"/>
          <w:lang w:eastAsia="cs-CZ"/>
        </w:rPr>
      </w:r>
    </w:p>
    <w:tbl>
      <w:tblPr>
        <w:tblW w:w="932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4"/>
        <w:gridCol w:w="1134"/>
        <w:gridCol w:w="1418"/>
        <w:gridCol w:w="6095"/>
      </w:tblGrid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color w:val="000000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000000"/>
                <w:lang w:eastAsia="cs-CZ"/>
              </w:rPr>
              <w:t>Pol.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color w:val="000000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000000"/>
                <w:lang w:eastAsia="cs-CZ"/>
              </w:rPr>
              <w:t>Předpis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000000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000000"/>
                <w:lang w:eastAsia="cs-CZ"/>
              </w:rPr>
              <w:t>|§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000000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000000"/>
                <w:lang w:eastAsia="cs-CZ"/>
              </w:rPr>
              <w:t>Předmět působnosti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lang w:eastAsia="cs-CZ"/>
              </w:rPr>
              <w:t>147.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lang w:eastAsia="cs-CZ"/>
              </w:rPr>
              <w:t>zákon č. 13/1997 Sb.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lang w:eastAsia="cs-CZ"/>
              </w:rPr>
              <w:t>40 odst. 4 písm. a)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lang w:eastAsia="cs-CZ"/>
              </w:rPr>
              <w:t>výkon působnosti silničního správního úřadu a speciálního stavebního úřadu ve věcech silnic II. a III. třídy a veřejně přístupných účelových komunikací s výjimkou věcí, o kterých rozhoduje Ministerstvo dopravy nebo krajský úřad</w:t>
            </w:r>
          </w:p>
        </w:tc>
      </w:tr>
      <w:tr>
        <w:trPr>
          <w:trHeight w:val="929" w:hRule="exact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lang w:eastAsia="cs-CZ"/>
              </w:rPr>
              <w:t>148.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eastAsiaTheme="minorEastAsia" w:ascii="Times New Roman" w:hAnsi="Times New Roman"/>
                <w:lang w:eastAsia="cs-CZ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lang w:eastAsia="cs-CZ"/>
              </w:rPr>
              <w:t>40 odst. 4 písm. b)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lang w:eastAsia="cs-CZ"/>
              </w:rPr>
              <w:t>výkon působnosti silničního správního úřadu ve věci povolování zřízení přejezdu na neveřejně účelové komunikaci</w:t>
            </w:r>
          </w:p>
        </w:tc>
      </w:tr>
      <w:tr>
        <w:trPr>
          <w:trHeight w:val="3186" w:hRule="exact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lang w:eastAsia="cs-CZ"/>
              </w:rPr>
              <w:t>149.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eastAsiaTheme="minorEastAsia" w:ascii="Times New Roman" w:hAnsi="Times New Roman"/>
                <w:lang w:eastAsia="cs-CZ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lang w:eastAsia="cs-CZ"/>
              </w:rPr>
              <w:t>40 odst. 4 písm. c)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lang w:eastAsia="cs-CZ"/>
              </w:rPr>
              <w:t>projednávání přestupků podle § 42a ve věcech silnic II. a III. třídy, místních komunikací a veřejně přístupných účelových komunikací, s výjimkou vozovek místních komunikací I. třídy, a projednávání správních deliktů podle § 42b ve věcech silnic II. a III. třídy, místních komunikací a veřejně přístupných účelových komunikací, s výjimkou vozovek komunikací I. třídy,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eastAsiaTheme="minorEastAsia" w:ascii="Times New Roman" w:hAnsi="Times New Roman"/>
                <w:lang w:eastAsia="cs-C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lang w:eastAsia="cs-CZ"/>
              </w:rPr>
              <w:t>a s výjimkou přestupku podle 42a odst. 4 písm. e), a s výjimkou správních deliktů podle § 42b odst. 1 písm. s), t), u) a v)</w:t>
            </w:r>
          </w:p>
        </w:tc>
      </w:tr>
      <w:tr>
        <w:trPr/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lang w:eastAsia="cs-CZ"/>
              </w:rPr>
              <w:t>150.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eastAsiaTheme="minorEastAsia" w:ascii="Times New Roman" w:hAnsi="Times New Roman"/>
                <w:lang w:eastAsia="cs-CZ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lang w:eastAsia="cs-CZ"/>
              </w:rPr>
              <w:t>40 odst. 4 písm. d)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lang w:eastAsia="cs-CZ"/>
              </w:rPr>
              <w:t>uplatňování závazných stanovisek v územním řízení z hlediska řešení místních komunikací II., III. a IV. třídy a účelových komunikací</w:t>
            </w:r>
          </w:p>
        </w:tc>
      </w:tr>
      <w:tr>
        <w:trPr>
          <w:trHeight w:val="4756" w:hRule="atLeast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lang w:eastAsia="cs-CZ"/>
              </w:rPr>
              <w:t>151.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eastAsiaTheme="minorEastAsia" w:ascii="Times New Roman" w:hAnsi="Times New Roman"/>
                <w:lang w:eastAsia="cs-CZ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lang w:eastAsia="cs-CZ"/>
              </w:rPr>
              <w:t>40 odst. 5 písm. b)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lang w:eastAsia="cs-CZ"/>
              </w:rPr>
              <w:t>výkon působnosti silničního správního úřadu ve věci místních komunikací, s výjimkou vozovek místních komunikací I. třídy a úseků místních komunikací II., III. a IV. třídy, na nichž je osazeno: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eastAsiaTheme="minorEastAsia" w:ascii="Times New Roman" w:hAnsi="Times New Roman"/>
                <w:lang w:eastAsia="cs-C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lang w:eastAsia="cs-CZ"/>
              </w:rPr>
              <w:t>1.</w:t>
              <w:tab/>
              <w:t>světelné signalizační zařízení včetně zařízení souvisejících se světelným signalizačním zařízením v rámci systému řízení a regulace městského silničního provozu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lang w:eastAsia="cs-CZ"/>
              </w:rPr>
              <w:t>2.</w:t>
              <w:tab/>
              <w:t xml:space="preserve">zařízení pro provozní informace městského systému informování účastníků dopravy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lang w:eastAsia="cs-CZ"/>
              </w:rPr>
              <w:t>3.</w:t>
              <w:tab/>
              <w:t>zařízení pro telematiku a ve věcech veřejně přístupných účelových komunikací s výjimkou veřejně přístupných účelových komunikací Aviatická a Schengenská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eastAsiaTheme="minorEastAsia" w:ascii="Times New Roman" w:hAnsi="Times New Roman"/>
                <w:lang w:eastAsia="cs-C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lang w:eastAsia="cs-CZ"/>
              </w:rPr>
            </w:pPr>
            <w:r>
              <w:rPr>
                <w:rFonts w:eastAsia="" w:cs="Times New Roman" w:ascii="Times New Roman" w:hAnsi="Times New Roman" w:eastAsiaTheme="minorEastAsia"/>
                <w:lang w:eastAsia="cs-CZ"/>
              </w:rPr>
              <w:t>výkon působnosti speciálního stavebního úřadu ve věcech místních komunikací s výjimkou místních komunikací I. třídy a s výjimkou věcí, které si vyhradí jejich nadřízený stavební úřad v souladu s § 17 zákona č. 183/2006 Sb.</w:t>
            </w:r>
          </w:p>
        </w:tc>
      </w:tr>
    </w:tbl>
    <w:p>
      <w:pPr>
        <w:pStyle w:val="Normal"/>
        <w:keepNext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cs-CZ"/>
        </w:rPr>
      </w:pPr>
      <w:r>
        <w:rPr>
          <w:rFonts w:eastAsia="Times New Roman" w:cs="Times New Roman" w:ascii="Times New Roman" w:hAnsi="Times New Roman"/>
          <w:color w:val="000000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lang w:eastAsia="cs-CZ"/>
        </w:rPr>
      </w:pPr>
      <w:r>
        <w:rPr>
          <w:rFonts w:eastAsia="Times New Roman" w:cs="Times New Roman" w:ascii="Times New Roman" w:hAnsi="Times New Roman"/>
          <w:color w:val="000000"/>
          <w:lang w:eastAsia="cs-CZ"/>
        </w:rPr>
      </w:r>
      <w:r>
        <w:br w:type="page"/>
      </w:r>
    </w:p>
    <w:p>
      <w:pPr>
        <w:pStyle w:val="Normal"/>
        <w:keepNext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cs-CZ"/>
        </w:rPr>
      </w:pPr>
      <w:r>
        <w:rPr>
          <w:rFonts w:eastAsia="Times New Roman" w:cs="Times New Roman" w:ascii="Times New Roman" w:hAnsi="Times New Roman"/>
          <w:color w:val="000000"/>
          <w:lang w:eastAsia="cs-CZ"/>
        </w:rPr>
        <w:t xml:space="preserve"> </w:t>
      </w:r>
    </w:p>
    <w:p>
      <w:pPr>
        <w:pStyle w:val="Normal"/>
        <w:keepNext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cs-CZ"/>
        </w:rPr>
      </w:pPr>
      <w:r>
        <w:rPr>
          <w:rFonts w:eastAsia="Times New Roman" w:cs="Times New Roman" w:ascii="Times New Roman" w:hAnsi="Times New Roman"/>
          <w:color w:val="000000"/>
          <w:lang w:eastAsia="cs-CZ"/>
        </w:rPr>
        <w:t>V příloze č. 4 části A se za položku č. 157 vkládá nová položka č. 158, která zní:</w:t>
      </w:r>
    </w:p>
    <w:p>
      <w:pPr>
        <w:pStyle w:val="Normal"/>
        <w:keepNext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cs-CZ"/>
        </w:rPr>
      </w:pPr>
      <w:r>
        <w:rPr>
          <w:rFonts w:eastAsia="Times New Roman" w:cs="Times New Roman" w:ascii="Times New Roman" w:hAnsi="Times New Roman"/>
          <w:color w:val="000000"/>
          <w:lang w:eastAsia="cs-CZ"/>
        </w:rPr>
      </w:r>
    </w:p>
    <w:tbl>
      <w:tblPr>
        <w:tblW w:w="8647" w:type="dxa"/>
        <w:jc w:val="left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33"/>
        <w:gridCol w:w="1418"/>
        <w:gridCol w:w="6096"/>
      </w:tblGrid>
      <w:tr>
        <w:trPr/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Předpis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|§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Předmět působnosti</w:t>
            </w:r>
          </w:p>
        </w:tc>
      </w:tr>
      <w:tr>
        <w:trPr>
          <w:trHeight w:val="1316" w:hRule="atLeast"/>
        </w:trPr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zákon č.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168/1999 Sb.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 odst. 4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projednávání přestupků za provozování vozidla na pozemní komunikaci bez pojištění odpovědnosti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keepNext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cs-CZ"/>
        </w:rPr>
      </w:pPr>
      <w:r>
        <w:rPr>
          <w:rFonts w:eastAsia="Times New Roman" w:cs="Times New Roman" w:ascii="Times New Roman" w:hAnsi="Times New Roman"/>
          <w:color w:val="000000"/>
          <w:lang w:eastAsia="cs-CZ"/>
        </w:rPr>
      </w:r>
    </w:p>
    <w:p>
      <w:pPr>
        <w:pStyle w:val="Normal"/>
        <w:keepNext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>Dosavadní položky č. 158 až 443 se označují jako položky č. 159 až 444.</w:t>
      </w:r>
    </w:p>
    <w:p>
      <w:pPr>
        <w:pStyle w:val="Normal"/>
        <w:keepNext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cs-CZ"/>
        </w:rPr>
      </w:pPr>
      <w:r>
        <w:rPr>
          <w:rFonts w:eastAsia="Times New Roman" w:cs="Times New Roman" w:ascii="Times New Roman" w:hAnsi="Times New Roman"/>
          <w:color w:val="000000"/>
          <w:lang w:eastAsia="cs-CZ"/>
        </w:rPr>
      </w:r>
    </w:p>
    <w:p>
      <w:pPr>
        <w:pStyle w:val="Normal"/>
        <w:keepNext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lang w:eastAsia="cs-CZ"/>
        </w:rPr>
      </w:pPr>
      <w:r>
        <w:rPr>
          <w:rFonts w:eastAsia="Times New Roman" w:cs="Times New Roman" w:ascii="Times New Roman" w:hAnsi="Times New Roman"/>
          <w:color w:val="000000"/>
          <w:lang w:eastAsia="cs-CZ"/>
        </w:rPr>
        <w:t>V příloze č. 4 se část C zrušuje.</w:t>
      </w:r>
    </w:p>
    <w:p>
      <w:pPr>
        <w:pStyle w:val="Normal"/>
        <w:keepNext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cs-CZ"/>
        </w:rPr>
      </w:pPr>
      <w:r>
        <w:rPr>
          <w:rFonts w:eastAsia="Times New Roman" w:cs="Times New Roman" w:ascii="Times New Roman" w:hAnsi="Times New Roman"/>
          <w:color w:val="000000"/>
          <w:lang w:eastAsia="cs-CZ"/>
        </w:rPr>
      </w:r>
    </w:p>
    <w:p>
      <w:pPr>
        <w:pStyle w:val="Normal"/>
        <w:keepNext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cs-CZ"/>
        </w:rPr>
        <w:t>Čl. II</w:t>
      </w:r>
    </w:p>
    <w:p>
      <w:pPr>
        <w:pStyle w:val="Normal"/>
        <w:keepNext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lang w:eastAsia="cs-CZ"/>
        </w:rPr>
      </w:pPr>
      <w:r>
        <w:rPr>
          <w:rFonts w:eastAsia="Times New Roman" w:cs="Times New Roman" w:ascii="Times New Roman" w:hAnsi="Times New Roman"/>
          <w:color w:val="000000"/>
          <w:lang w:eastAsia="cs-CZ"/>
        </w:rPr>
      </w:r>
    </w:p>
    <w:p>
      <w:pPr>
        <w:pStyle w:val="Normal"/>
        <w:keepNext/>
        <w:spacing w:lineRule="auto" w:line="240" w:before="0" w:after="0"/>
        <w:ind w:left="709" w:firstLine="709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keepNext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>Tato vyhláška nabývá účinnosti dnem 1. dubna. 2016.</w:t>
      </w:r>
    </w:p>
    <w:p>
      <w:pPr>
        <w:pStyle w:val="Normal"/>
        <w:keepNext/>
        <w:spacing w:lineRule="auto" w:line="240" w:before="0" w:after="0"/>
        <w:ind w:left="709" w:firstLine="709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keepNext/>
        <w:spacing w:lineRule="auto" w:line="240" w:before="0" w:after="0"/>
        <w:ind w:left="709" w:firstLine="709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keepNext/>
        <w:spacing w:lineRule="auto" w:line="240" w:before="0" w:after="0"/>
        <w:ind w:left="709" w:firstLine="709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keepNext/>
        <w:spacing w:lineRule="auto" w:line="240" w:before="0" w:after="0"/>
        <w:ind w:left="709" w:firstLine="709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keepNext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 xml:space="preserve">Adriana Krnáčová, </w:t>
      </w:r>
    </w:p>
    <w:p>
      <w:pPr>
        <w:pStyle w:val="Normal"/>
        <w:keepNext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>primátorka hl. m. Prahy</w:t>
      </w:r>
    </w:p>
    <w:p>
      <w:pPr>
        <w:pStyle w:val="Normal"/>
        <w:keepNext/>
        <w:spacing w:lineRule="auto" w:line="240" w:before="0" w:after="0"/>
        <w:ind w:left="2127" w:firstLine="709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keepNext/>
        <w:spacing w:lineRule="auto" w:line="240" w:before="0" w:after="0"/>
        <w:ind w:left="2127" w:firstLine="709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keepNext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>Petr Dolínek</w:t>
      </w:r>
    </w:p>
    <w:p>
      <w:pPr>
        <w:pStyle w:val="Normal"/>
        <w:keepNext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  <w:t>náměstek primátorky hl. m. Prahy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first" r:id="rId2"/>
      <w:type w:val="nextPage"/>
      <w:pgSz w:w="11906" w:h="16838"/>
      <w:pgMar w:left="2381" w:right="964" w:header="0" w:top="1079" w:footer="0" w:bottom="68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enter" w:pos="4536" w:leader="none"/>
        <w:tab w:val="right" w:pos="9072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4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val="cs-CZ" w:bidi="ar-SA"/>
    </w:rPr>
  </w:style>
  <w:style w:type="paragraph" w:styleId="Nadpis1">
    <w:name w:val="Nadpis 1"/>
    <w:basedOn w:val="Normal"/>
    <w:qFormat/>
    <w:pPr>
      <w:keepNext/>
      <w:overflowPunct w:val="true"/>
      <w:textAlignment w:val="baseline"/>
      <w:outlineLvl w:val="0"/>
    </w:pPr>
    <w:rPr>
      <w:szCs w:val="20"/>
    </w:rPr>
  </w:style>
  <w:style w:type="paragraph" w:styleId="Nadpis2">
    <w:name w:val="Nadpis 2"/>
    <w:basedOn w:val="Normal"/>
    <w:qFormat/>
    <w:pPr>
      <w:keepNext/>
      <w:spacing w:lineRule="atLeast" w:line="240"/>
      <w:outlineLvl w:val="1"/>
    </w:pPr>
    <w:rPr>
      <w:b/>
      <w:bCs/>
    </w:rPr>
  </w:style>
  <w:style w:type="paragraph" w:styleId="Nadpis3">
    <w:name w:val="Nadpis 3"/>
    <w:basedOn w:val="Normal"/>
    <w:link w:val="Nadpis3Char"/>
    <w:qFormat/>
    <w:rsid w:val="00494cad"/>
    <w:pPr>
      <w:keepNext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semiHidden/>
    <w:rPr>
      <w:color w:val="0000FF"/>
      <w:u w:val="single"/>
    </w:rPr>
  </w:style>
  <w:style w:type="character" w:styleId="FollowedHyperlink">
    <w:name w:val="FollowedHyperlink"/>
    <w:semiHidden/>
    <w:qFormat/>
    <w:rPr>
      <w:color w:val="800080"/>
      <w:u w:val="single"/>
    </w:rPr>
  </w:style>
  <w:style w:type="character" w:styleId="TextbublinyChar" w:customStyle="1">
    <w:name w:val="Text bubliny Char"/>
    <w:link w:val="Textbubliny"/>
    <w:uiPriority w:val="99"/>
    <w:semiHidden/>
    <w:qFormat/>
    <w:rsid w:val="00964ec0"/>
    <w:rPr>
      <w:rFonts w:ascii="Tahoma" w:hAnsi="Tahoma" w:cs="Tahoma"/>
      <w:sz w:val="16"/>
      <w:szCs w:val="16"/>
    </w:rPr>
  </w:style>
  <w:style w:type="character" w:styleId="Nadpis3Char" w:customStyle="1">
    <w:name w:val="Nadpis 3 Char"/>
    <w:basedOn w:val="DefaultParagraphFont"/>
    <w:link w:val="Nadpis3"/>
    <w:qFormat/>
    <w:rsid w:val="00494cad"/>
    <w:rPr>
      <w:b/>
      <w:sz w:val="22"/>
      <w:szCs w:val="24"/>
    </w:rPr>
  </w:style>
  <w:style w:type="character" w:styleId="Zkladntext3Char" w:customStyle="1">
    <w:name w:val="Základní text 3 Char"/>
    <w:basedOn w:val="DefaultParagraphFont"/>
    <w:link w:val="Zkladntext3"/>
    <w:semiHidden/>
    <w:qFormat/>
    <w:rsid w:val="00494cad"/>
    <w:rPr>
      <w:color w:val="000000"/>
      <w:sz w:val="24"/>
      <w:szCs w:val="24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b w:val="false"/>
      <w:i w:val="false"/>
      <w:sz w:val="24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cs="Times New Roman"/>
      <w:b w:val="false"/>
      <w:sz w:val="24"/>
      <w:szCs w:val="24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lotextu">
    <w:name w:val="Tělo textu"/>
    <w:basedOn w:val="Normal"/>
    <w:semiHidden/>
    <w:pPr>
      <w:overflowPunct w:val="true"/>
      <w:jc w:val="both"/>
      <w:textAlignment w:val="baseline"/>
    </w:pPr>
    <w:rPr>
      <w:szCs w:val="20"/>
    </w:rPr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Záhlaví"/>
    <w:basedOn w:val="Normal"/>
    <w:semiHidden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semiHidden/>
    <w:pPr>
      <w:tabs>
        <w:tab w:val="center" w:pos="4536" w:leader="none"/>
        <w:tab w:val="right" w:pos="9072" w:leader="none"/>
      </w:tabs>
    </w:pPr>
    <w:rPr/>
  </w:style>
  <w:style w:type="paragraph" w:styleId="Odsazentlatextu">
    <w:name w:val="Odsazení těla textu"/>
    <w:basedOn w:val="Normal"/>
    <w:semiHidden/>
    <w:pPr>
      <w:ind w:left="840" w:hanging="0"/>
    </w:pPr>
    <w:rPr>
      <w:b/>
    </w:rPr>
  </w:style>
  <w:style w:type="paragraph" w:styleId="BodyTextIndent2">
    <w:name w:val="Body Text Indent 2"/>
    <w:basedOn w:val="Normal"/>
    <w:semiHidden/>
    <w:qFormat/>
    <w:pPr>
      <w:ind w:left="840" w:hanging="0"/>
    </w:pPr>
    <w:rPr/>
  </w:style>
  <w:style w:type="paragraph" w:styleId="BodyTextIndent3">
    <w:name w:val="Body Text Indent 3"/>
    <w:basedOn w:val="Normal"/>
    <w:semiHidden/>
    <w:qFormat/>
    <w:pPr>
      <w:ind w:firstLine="708"/>
      <w:jc w:val="both"/>
    </w:pPr>
    <w:rPr>
      <w:color w:val="FF0000"/>
      <w:szCs w:val="20"/>
    </w:rPr>
  </w:style>
  <w:style w:type="paragraph" w:styleId="Nzev">
    <w:name w:val="Název"/>
    <w:basedOn w:val="Normal"/>
    <w:qFormat/>
    <w:pPr>
      <w:jc w:val="center"/>
    </w:pPr>
    <w:rPr>
      <w:i/>
      <w:iCs/>
      <w:u w:val="single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64ec0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Zkladntext3Char"/>
    <w:semiHidden/>
    <w:qFormat/>
    <w:rsid w:val="00494cad"/>
    <w:pPr>
      <w:keepNext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494cad"/>
    <w:pPr>
      <w:spacing w:before="0" w:after="20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uiPriority w:val="59"/>
    <w:rsid w:val="00cb04f0"/>
    <w:rPr>
      <w:lang w:eastAsia="en-US"/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">
    <w:name w:val="Table Grid"/>
    <w:basedOn w:val="Normlntabulka"/>
    <w:uiPriority w:val="59"/>
    <w:rsid w:val="00cb04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MHMP.dot</Template>
  <TotalTime>0</TotalTime>
  <Application>LibreOffice/4.4.4.3$Windows_x86 LibreOffice_project/2c39ebcf046445232b798108aa8a7e7d89552ea8</Application>
  <Paragraphs>56</Paragraphs>
  <Company>MHMP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2014-07-08T12:27:00Z</dcterms:created>
  <dc:creator>INF</dc:creator>
  <dc:language>cs-CZ</dc:language>
  <cp:lastModifiedBy>Čadský Miroslav (MHMP, RFD)</cp:lastModifiedBy>
  <cp:lastPrinted>2014-06-30T06:17:00Z</cp:lastPrinted>
  <dcterms:modified xsi:type="dcterms:W3CDTF">2015-12-29T13:29:00Z</dcterms:modified>
  <cp:revision>10</cp:revision>
  <dc:title>Na základě Vaší žádosti na určení tříd komunikací Rezidenční čtvrti Sladovny v Praze 6 sdělujeme následující: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