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114" w:rsidRPr="00EF0523" w:rsidRDefault="00803114">
      <w:pPr>
        <w:jc w:val="both"/>
        <w:rPr>
          <w:b/>
          <w:bCs/>
          <w:color w:val="FF0000"/>
        </w:rPr>
      </w:pPr>
    </w:p>
    <w:p w:rsidR="00803114" w:rsidRDefault="00803114" w:rsidP="005161C0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>III. Městské části hl.</w:t>
      </w:r>
      <w:r w:rsidR="00D23D05">
        <w:rPr>
          <w:b/>
          <w:bCs/>
          <w:sz w:val="28"/>
        </w:rPr>
        <w:t xml:space="preserve"> </w:t>
      </w:r>
      <w:r>
        <w:rPr>
          <w:b/>
          <w:bCs/>
          <w:sz w:val="28"/>
        </w:rPr>
        <w:t>m.</w:t>
      </w:r>
      <w:r w:rsidR="00D23D05">
        <w:rPr>
          <w:b/>
          <w:bCs/>
          <w:sz w:val="28"/>
        </w:rPr>
        <w:t xml:space="preserve"> </w:t>
      </w:r>
      <w:r>
        <w:rPr>
          <w:b/>
          <w:bCs/>
          <w:sz w:val="28"/>
        </w:rPr>
        <w:t>Prahy</w:t>
      </w:r>
    </w:p>
    <w:p w:rsidR="00803114" w:rsidRDefault="00803114">
      <w:pPr>
        <w:rPr>
          <w:b/>
          <w:bCs/>
        </w:rPr>
      </w:pPr>
    </w:p>
    <w:p w:rsidR="00803114" w:rsidRDefault="00803114">
      <w:pPr>
        <w:rPr>
          <w:b/>
          <w:bCs/>
        </w:rPr>
      </w:pPr>
    </w:p>
    <w:p w:rsidR="00803114" w:rsidRPr="00635A83" w:rsidRDefault="00803114" w:rsidP="005161C0">
      <w:pPr>
        <w:outlineLvl w:val="0"/>
        <w:rPr>
          <w:b/>
          <w:bCs/>
          <w:sz w:val="28"/>
          <w:szCs w:val="28"/>
        </w:rPr>
      </w:pPr>
      <w:r w:rsidRPr="00635A83">
        <w:rPr>
          <w:b/>
          <w:bCs/>
          <w:sz w:val="28"/>
          <w:szCs w:val="28"/>
        </w:rPr>
        <w:t>1.  Úvod</w:t>
      </w:r>
    </w:p>
    <w:p w:rsidR="00803114" w:rsidRDefault="00803114">
      <w:pPr>
        <w:rPr>
          <w:b/>
          <w:bCs/>
        </w:rPr>
      </w:pPr>
    </w:p>
    <w:p w:rsidR="0036649B" w:rsidRDefault="0036649B">
      <w:pPr>
        <w:rPr>
          <w:b/>
          <w:bCs/>
        </w:rPr>
      </w:pPr>
    </w:p>
    <w:p w:rsidR="00427E95" w:rsidRDefault="00803114">
      <w:pPr>
        <w:jc w:val="both"/>
      </w:pPr>
      <w:r>
        <w:t>Hospodaření městských částí hl. m. Prahy</w:t>
      </w:r>
      <w:bookmarkStart w:id="0" w:name="_GoBack"/>
      <w:bookmarkEnd w:id="0"/>
      <w:r>
        <w:t xml:space="preserve"> skončilo k</w:t>
      </w:r>
      <w:r w:rsidR="004370B2">
        <w:t> </w:t>
      </w:r>
      <w:r>
        <w:t>3</w:t>
      </w:r>
      <w:r w:rsidR="004370B2">
        <w:t>1. 12.</w:t>
      </w:r>
      <w:r w:rsidR="00E65E4B">
        <w:t> </w:t>
      </w:r>
      <w:r>
        <w:t>20</w:t>
      </w:r>
      <w:r w:rsidR="00481538">
        <w:t>1</w:t>
      </w:r>
      <w:r w:rsidR="00D23D05">
        <w:t>5</w:t>
      </w:r>
      <w:r>
        <w:t xml:space="preserve"> přebytkem ve výši </w:t>
      </w:r>
      <w:r w:rsidR="00D23D05">
        <w:t>1</w:t>
      </w:r>
      <w:r w:rsidR="004370B2">
        <w:t> 025 467,3</w:t>
      </w:r>
      <w:r>
        <w:t> tis</w:t>
      </w:r>
      <w:r w:rsidRPr="005161C0">
        <w:t>.</w:t>
      </w:r>
      <w:r w:rsidR="0033635A" w:rsidRPr="005161C0">
        <w:t> </w:t>
      </w:r>
      <w:r w:rsidRPr="005161C0">
        <w:t xml:space="preserve">Kč.  </w:t>
      </w:r>
    </w:p>
    <w:p w:rsidR="00427E95" w:rsidRDefault="00427E95">
      <w:pPr>
        <w:jc w:val="both"/>
      </w:pPr>
    </w:p>
    <w:p w:rsidR="00427E95" w:rsidRDefault="00803114" w:rsidP="00427E95">
      <w:pPr>
        <w:jc w:val="both"/>
      </w:pPr>
      <w:r w:rsidRPr="005161C0">
        <w:t xml:space="preserve">Ve vztahu k alikvotní části upraveného rozpočtu se jedná o úsporu hospodaření ve výši </w:t>
      </w:r>
      <w:r w:rsidR="00427E95">
        <w:br/>
      </w:r>
      <w:r w:rsidR="004370B2">
        <w:t>2 806 225</w:t>
      </w:r>
      <w:r w:rsidR="00D23D05">
        <w:t>,0</w:t>
      </w:r>
      <w:r w:rsidRPr="005161C0">
        <w:t>  tis.</w:t>
      </w:r>
      <w:r w:rsidR="0033635A" w:rsidRPr="005161C0">
        <w:t> </w:t>
      </w:r>
      <w:r w:rsidRPr="005161C0">
        <w:t xml:space="preserve">Kč, k níž došlo v důsledku nižšího čerpání výdajů (na </w:t>
      </w:r>
      <w:r w:rsidR="00427E95">
        <w:t>71,16</w:t>
      </w:r>
      <w:r w:rsidR="004C402C" w:rsidRPr="005161C0">
        <w:t xml:space="preserve"> % RU</w:t>
      </w:r>
      <w:r w:rsidRPr="005161C0">
        <w:t xml:space="preserve">), zejména kapitálových (na </w:t>
      </w:r>
      <w:r w:rsidR="00427E95">
        <w:t>50,25</w:t>
      </w:r>
      <w:r w:rsidRPr="005161C0">
        <w:t xml:space="preserve"> % RU).</w:t>
      </w:r>
      <w:r>
        <w:t xml:space="preserve"> </w:t>
      </w:r>
    </w:p>
    <w:p w:rsidR="00427E95" w:rsidRDefault="00427E95">
      <w:pPr>
        <w:jc w:val="both"/>
      </w:pPr>
    </w:p>
    <w:p w:rsidR="00803114" w:rsidRDefault="00803114">
      <w:pPr>
        <w:jc w:val="both"/>
      </w:pPr>
      <w:r>
        <w:t>Příjmy za městské části celkem</w:t>
      </w:r>
      <w:r w:rsidR="004C402C">
        <w:t xml:space="preserve"> ve sledovaném období</w:t>
      </w:r>
      <w:r>
        <w:t xml:space="preserve"> </w:t>
      </w:r>
      <w:r w:rsidR="00D25CF2">
        <w:t xml:space="preserve">činily </w:t>
      </w:r>
      <w:r w:rsidR="004370B2">
        <w:t>12 412 854,3</w:t>
      </w:r>
      <w:r w:rsidR="00702C78">
        <w:t xml:space="preserve"> </w:t>
      </w:r>
      <w:r w:rsidR="004C402C">
        <w:t xml:space="preserve">tis. Kč a </w:t>
      </w:r>
      <w:r w:rsidR="0036649B">
        <w:t xml:space="preserve">byly plněny </w:t>
      </w:r>
      <w:r>
        <w:t xml:space="preserve">na </w:t>
      </w:r>
      <w:r w:rsidR="004370B2">
        <w:t>87,28</w:t>
      </w:r>
      <w:r>
        <w:t xml:space="preserve"> %  RU. </w:t>
      </w:r>
    </w:p>
    <w:p w:rsidR="00ED2BA8" w:rsidRDefault="00ED2BA8">
      <w:pPr>
        <w:jc w:val="both"/>
      </w:pPr>
    </w:p>
    <w:p w:rsidR="00ED2BA8" w:rsidRDefault="00ED2BA8">
      <w:pPr>
        <w:jc w:val="both"/>
      </w:pPr>
      <w:r>
        <w:t>Oproti stejnému období roku 201</w:t>
      </w:r>
      <w:r w:rsidR="008A68BC">
        <w:t>4</w:t>
      </w:r>
      <w:r>
        <w:t xml:space="preserve"> došlo k</w:t>
      </w:r>
      <w:r w:rsidR="005161C0">
        <w:t xml:space="preserve"> </w:t>
      </w:r>
      <w:r w:rsidR="008A68BC">
        <w:t>poklesu</w:t>
      </w:r>
      <w:r>
        <w:t xml:space="preserve"> skutečných příjmů o </w:t>
      </w:r>
      <w:r w:rsidR="004370B2">
        <w:t>640 071,0</w:t>
      </w:r>
      <w:r w:rsidR="00E476EE">
        <w:t xml:space="preserve"> </w:t>
      </w:r>
      <w:r>
        <w:t xml:space="preserve">tis. Kč tj. </w:t>
      </w:r>
      <w:r w:rsidR="00E476EE">
        <w:br/>
      </w:r>
      <w:r>
        <w:t xml:space="preserve">o </w:t>
      </w:r>
      <w:r w:rsidR="00427E95">
        <w:t>4,90</w:t>
      </w:r>
      <w:r>
        <w:t xml:space="preserve"> %. </w:t>
      </w:r>
      <w:r w:rsidR="00F175DC">
        <w:t xml:space="preserve">Ještě výrazněji </w:t>
      </w:r>
      <w:r w:rsidR="008A68BC">
        <w:t>klesl</w:t>
      </w:r>
      <w:r w:rsidR="00F175DC">
        <w:t xml:space="preserve"> meziročně objem skutečných výdajů</w:t>
      </w:r>
      <w:r>
        <w:t>, a to o</w:t>
      </w:r>
      <w:r w:rsidR="00E476EE">
        <w:t xml:space="preserve"> </w:t>
      </w:r>
      <w:r w:rsidR="00427E95">
        <w:t>2 087 280,3</w:t>
      </w:r>
      <w:r w:rsidR="00F175DC">
        <w:t xml:space="preserve"> </w:t>
      </w:r>
      <w:r w:rsidR="00E476EE">
        <w:t xml:space="preserve">tis. Kč, </w:t>
      </w:r>
      <w:r>
        <w:t xml:space="preserve">což představuje </w:t>
      </w:r>
      <w:r w:rsidR="008A68BC">
        <w:t>snížení</w:t>
      </w:r>
      <w:r w:rsidR="004972F9">
        <w:t xml:space="preserve"> </w:t>
      </w:r>
      <w:r w:rsidR="00E476EE">
        <w:t>o</w:t>
      </w:r>
      <w:r w:rsidR="0087436F">
        <w:t xml:space="preserve"> 15,5</w:t>
      </w:r>
      <w:r w:rsidR="00E476EE">
        <w:t xml:space="preserve"> %.</w:t>
      </w:r>
      <w:r>
        <w:t xml:space="preserve"> </w:t>
      </w:r>
    </w:p>
    <w:p w:rsidR="00803114" w:rsidRDefault="00803114">
      <w:pPr>
        <w:jc w:val="both"/>
      </w:pPr>
    </w:p>
    <w:p w:rsidR="008A296E" w:rsidRDefault="008A296E" w:rsidP="008A296E">
      <w:pPr>
        <w:jc w:val="both"/>
      </w:pPr>
      <w:r>
        <w:t>Vzhledem k novele vyhlášky MF č. 323/2002 Sb., o rozpočtové</w:t>
      </w:r>
      <w:r w:rsidR="0036649B">
        <w:t xml:space="preserve"> skladbě došlo s účinností od </w:t>
      </w:r>
      <w:r>
        <w:t>1. 1. 2015 k </w:t>
      </w:r>
      <w:r w:rsidRPr="000E07B3">
        <w:rPr>
          <w:u w:val="single"/>
        </w:rPr>
        <w:t>významné změně ve vykazování příjmů a výdajů</w:t>
      </w:r>
      <w:r>
        <w:rPr>
          <w:u w:val="single"/>
        </w:rPr>
        <w:t>.</w:t>
      </w:r>
      <w:r>
        <w:t xml:space="preserve"> Pro převody finančních prostředků na bankovní účty městských částí z bankovních účtů statutárních měst, jejichž jsou součástí, byla zavedena položka 4137 - Převody mezi statutárními městy (hl. m. Prahou) </w:t>
      </w:r>
      <w:r>
        <w:br/>
        <w:t xml:space="preserve">a jejich městskými obvody nebo částmi – příjmy. Na této položce jsou evidovány rovněž finanční prostředky, které statutární města dostávají na své bankovní účty z bankovních účtů svých městských částí.  Jedná se o párovou položku k položce 5347 - Převody mezi statutárními městy (hl. m. Prahou) a jejich městskými obvody nebo částmi – výdaje. Před účinností novely byly tyto převody realizovány prostřednictvím jednotlivých příjmových položek dle druhu příjmu s tím, že vlastní hl. m. Praha </w:t>
      </w:r>
      <w:proofErr w:type="gramStart"/>
      <w:r>
        <w:t>rozpočtovalo</w:t>
      </w:r>
      <w:proofErr w:type="gramEnd"/>
      <w:r>
        <w:t xml:space="preserve"> a účtovalo poukázání finančních prostředků městským částem na příjmových položkách mínusem a městská část zaevidovala příjem na shodných položkách plusem. V případě poukazování finančních prostředků z rozpočtu městských částí do rozpočtu hl. m. Prahy rozpočtovala a účtovala městská část na příjmových položkách mínusem, vlastní hl. m. Praha plusem. Dopad změn vyplývajících z novely vyhlášky do struktury příjmů a výdajů městských částí je uveden u jednotlivých druhů příjmů a výdajů, jichž se novela vyhlášky dotkla. </w:t>
      </w:r>
    </w:p>
    <w:p w:rsidR="008A296E" w:rsidRDefault="008A296E">
      <w:pPr>
        <w:jc w:val="both"/>
      </w:pPr>
    </w:p>
    <w:p w:rsidR="0036649B" w:rsidRDefault="0036649B">
      <w:pPr>
        <w:jc w:val="both"/>
      </w:pPr>
    </w:p>
    <w:p w:rsidR="00803114" w:rsidRDefault="00803114">
      <w:pPr>
        <w:jc w:val="both"/>
      </w:pPr>
      <w:r>
        <w:t>Základní přehled o hospodaření městských částí hl. m. Prahy k 3</w:t>
      </w:r>
      <w:r w:rsidR="0087436F">
        <w:t>1</w:t>
      </w:r>
      <w:r>
        <w:t>.</w:t>
      </w:r>
      <w:r w:rsidR="00E65E4B">
        <w:t> </w:t>
      </w:r>
      <w:r w:rsidR="0087436F">
        <w:t>12</w:t>
      </w:r>
      <w:r>
        <w:t>.</w:t>
      </w:r>
      <w:r w:rsidR="00E65E4B">
        <w:t> </w:t>
      </w:r>
      <w:r>
        <w:t>20</w:t>
      </w:r>
      <w:r w:rsidR="00481538">
        <w:t>1</w:t>
      </w:r>
      <w:r w:rsidR="008A68BC">
        <w:t>5</w:t>
      </w:r>
      <w:r>
        <w:t xml:space="preserve"> a </w:t>
      </w:r>
      <w:r w:rsidRPr="00CA281D">
        <w:rPr>
          <w:b/>
        </w:rPr>
        <w:t>porovnání dosažených výsledk</w:t>
      </w:r>
      <w:r w:rsidR="000E58D7">
        <w:rPr>
          <w:b/>
        </w:rPr>
        <w:t xml:space="preserve">ů hospodaření se skutečnostmi </w:t>
      </w:r>
      <w:r w:rsidR="0087436F">
        <w:rPr>
          <w:b/>
        </w:rPr>
        <w:t>za rok</w:t>
      </w:r>
      <w:r w:rsidR="000E58D7">
        <w:rPr>
          <w:b/>
        </w:rPr>
        <w:t xml:space="preserve"> 201</w:t>
      </w:r>
      <w:r w:rsidR="008A68BC">
        <w:rPr>
          <w:b/>
        </w:rPr>
        <w:t>4</w:t>
      </w:r>
      <w:r>
        <w:t xml:space="preserve"> podává následující tabulka:</w:t>
      </w:r>
    </w:p>
    <w:p w:rsidR="008A296E" w:rsidRDefault="008A296E" w:rsidP="005161C0">
      <w:pPr>
        <w:outlineLvl w:val="0"/>
      </w:pPr>
    </w:p>
    <w:p w:rsidR="0036649B" w:rsidRDefault="0036649B" w:rsidP="005161C0">
      <w:pPr>
        <w:outlineLvl w:val="0"/>
      </w:pPr>
    </w:p>
    <w:p w:rsidR="0036649B" w:rsidRDefault="0036649B" w:rsidP="005161C0">
      <w:pPr>
        <w:outlineLvl w:val="0"/>
      </w:pPr>
    </w:p>
    <w:p w:rsidR="0036649B" w:rsidRDefault="0036649B" w:rsidP="005161C0">
      <w:pPr>
        <w:outlineLvl w:val="0"/>
      </w:pPr>
    </w:p>
    <w:p w:rsidR="0036649B" w:rsidRDefault="0036649B" w:rsidP="005161C0">
      <w:pPr>
        <w:outlineLvl w:val="0"/>
      </w:pPr>
    </w:p>
    <w:p w:rsidR="0036649B" w:rsidRDefault="0036649B" w:rsidP="005161C0">
      <w:pPr>
        <w:outlineLvl w:val="0"/>
      </w:pPr>
    </w:p>
    <w:p w:rsidR="0036649B" w:rsidRDefault="0036649B" w:rsidP="005161C0">
      <w:pPr>
        <w:outlineLvl w:val="0"/>
      </w:pPr>
    </w:p>
    <w:p w:rsidR="0036649B" w:rsidRDefault="0036649B" w:rsidP="005161C0">
      <w:pPr>
        <w:outlineLvl w:val="0"/>
      </w:pPr>
    </w:p>
    <w:p w:rsidR="0036649B" w:rsidRDefault="0036649B" w:rsidP="005161C0">
      <w:pPr>
        <w:outlineLvl w:val="0"/>
      </w:pPr>
    </w:p>
    <w:p w:rsidR="0036649B" w:rsidRDefault="0036649B" w:rsidP="005161C0">
      <w:pPr>
        <w:outlineLvl w:val="0"/>
      </w:pPr>
    </w:p>
    <w:tbl>
      <w:tblPr>
        <w:tblW w:w="99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1"/>
        <w:gridCol w:w="1180"/>
        <w:gridCol w:w="1260"/>
        <w:gridCol w:w="1240"/>
        <w:gridCol w:w="1180"/>
        <w:gridCol w:w="840"/>
        <w:gridCol w:w="1160"/>
        <w:gridCol w:w="1180"/>
      </w:tblGrid>
      <w:tr w:rsidR="0036649B" w:rsidTr="0036649B">
        <w:trPr>
          <w:trHeight w:val="2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v tis. Kč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36649B" w:rsidTr="0036649B">
        <w:trPr>
          <w:trHeight w:val="552"/>
        </w:trPr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36649B" w:rsidRDefault="0036649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Skut. k </w:t>
            </w:r>
            <w:proofErr w:type="gramStart"/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31.12.2014</w:t>
            </w:r>
            <w:proofErr w:type="gramEnd"/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36649B" w:rsidRDefault="0036649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RS 2015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36649B" w:rsidRDefault="0036649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RU 2015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36649B" w:rsidRDefault="0036649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Skutečnost k </w:t>
            </w:r>
            <w:proofErr w:type="gramStart"/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31.12.2015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36649B" w:rsidRDefault="0036649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% plnění k RU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36649B" w:rsidRDefault="0036649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Úspora </w:t>
            </w:r>
            <w:proofErr w:type="spellStart"/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hosp</w:t>
            </w:r>
            <w:proofErr w:type="spellEnd"/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. skut. - RU  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36649B" w:rsidRDefault="0036649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Skutečnost 15-14</w:t>
            </w:r>
          </w:p>
        </w:tc>
      </w:tr>
      <w:tr w:rsidR="0036649B" w:rsidTr="0036649B">
        <w:trPr>
          <w:trHeight w:val="270"/>
        </w:trPr>
        <w:tc>
          <w:tcPr>
            <w:tcW w:w="19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649B" w:rsidRDefault="0036649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649B" w:rsidRDefault="0036649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649B" w:rsidRDefault="0036649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649B" w:rsidRDefault="0036649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649B" w:rsidRDefault="0036649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6</w:t>
            </w:r>
          </w:p>
        </w:tc>
      </w:tr>
      <w:tr w:rsidR="0036649B" w:rsidTr="0036649B">
        <w:trPr>
          <w:trHeight w:val="255"/>
        </w:trPr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Příjmy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13 052 925,3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10 802 343,8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14 222 535,3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12 412 854,3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87,28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-1 809 681,0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-640 071,0</w:t>
            </w:r>
          </w:p>
        </w:tc>
      </w:tr>
      <w:tr w:rsidR="0036649B" w:rsidTr="0036649B">
        <w:trPr>
          <w:trHeight w:val="255"/>
        </w:trPr>
        <w:tc>
          <w:tcPr>
            <w:tcW w:w="19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z toho: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36649B" w:rsidTr="0036649B">
        <w:trPr>
          <w:trHeight w:val="255"/>
        </w:trPr>
        <w:tc>
          <w:tcPr>
            <w:tcW w:w="19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i/>
                <w:iCs/>
                <w:sz w:val="18"/>
                <w:szCs w:val="18"/>
              </w:rPr>
              <w:t>daňové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1 344 863,2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1 272 581,8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1 278 820,3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1 370 685,6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107,18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91 865,3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25 822,4</w:t>
            </w:r>
          </w:p>
        </w:tc>
      </w:tr>
      <w:tr w:rsidR="0036649B" w:rsidTr="0036649B">
        <w:trPr>
          <w:trHeight w:val="255"/>
        </w:trPr>
        <w:tc>
          <w:tcPr>
            <w:tcW w:w="19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i/>
                <w:iCs/>
                <w:sz w:val="18"/>
                <w:szCs w:val="18"/>
              </w:rPr>
              <w:t>nedaňové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399 829,6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154 223,2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279 274,9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333 662,1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119,47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54 387,2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-66 167,5</w:t>
            </w:r>
          </w:p>
        </w:tc>
      </w:tr>
      <w:tr w:rsidR="0036649B" w:rsidTr="0036649B">
        <w:trPr>
          <w:trHeight w:val="255"/>
        </w:trPr>
        <w:tc>
          <w:tcPr>
            <w:tcW w:w="19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i/>
                <w:iCs/>
                <w:sz w:val="18"/>
                <w:szCs w:val="18"/>
              </w:rPr>
              <w:t>kapitálové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133 264,3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4 215,0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31 720,3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36 725,5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115,78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5 005,2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-96 538,8</w:t>
            </w:r>
          </w:p>
        </w:tc>
      </w:tr>
      <w:tr w:rsidR="0036649B" w:rsidTr="0036649B">
        <w:trPr>
          <w:trHeight w:val="255"/>
        </w:trPr>
        <w:tc>
          <w:tcPr>
            <w:tcW w:w="19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i/>
                <w:iCs/>
                <w:sz w:val="18"/>
                <w:szCs w:val="18"/>
              </w:rPr>
              <w:t>přijaté transfery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11 174 968,2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9 371 323,8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12 632 719,8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10 671 781,1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84,48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-1 960 938,7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-503 187,1</w:t>
            </w:r>
          </w:p>
        </w:tc>
      </w:tr>
      <w:tr w:rsidR="0036649B" w:rsidTr="0036649B">
        <w:trPr>
          <w:trHeight w:val="270"/>
        </w:trPr>
        <w:tc>
          <w:tcPr>
            <w:tcW w:w="1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36649B" w:rsidTr="0036649B">
        <w:trPr>
          <w:trHeight w:val="255"/>
        </w:trPr>
        <w:tc>
          <w:tcPr>
            <w:tcW w:w="19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Výdaje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13 474 667,3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12 964 872,0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16 003 293,0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11 387 387,0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71,16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-4 615 906,0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-2 087 280,3</w:t>
            </w:r>
          </w:p>
        </w:tc>
      </w:tr>
      <w:tr w:rsidR="0036649B" w:rsidTr="0036649B">
        <w:trPr>
          <w:trHeight w:val="255"/>
        </w:trPr>
        <w:tc>
          <w:tcPr>
            <w:tcW w:w="19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z toho: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36649B" w:rsidTr="0036649B">
        <w:trPr>
          <w:trHeight w:val="255"/>
        </w:trPr>
        <w:tc>
          <w:tcPr>
            <w:tcW w:w="19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i/>
                <w:iCs/>
                <w:sz w:val="18"/>
                <w:szCs w:val="18"/>
              </w:rPr>
              <w:t>běžné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8 134 969,6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7 849 963,4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9 354 860,3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8 046 774,1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86,02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-1 308 086,2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-88 195,5</w:t>
            </w:r>
          </w:p>
        </w:tc>
      </w:tr>
      <w:tr w:rsidR="0036649B" w:rsidTr="0036649B">
        <w:trPr>
          <w:trHeight w:val="255"/>
        </w:trPr>
        <w:tc>
          <w:tcPr>
            <w:tcW w:w="19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i/>
                <w:iCs/>
                <w:sz w:val="18"/>
                <w:szCs w:val="18"/>
              </w:rPr>
              <w:t>kapitálové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5 339 697,7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5 114 908,6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6 648 432,7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3 340 612,9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50,25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-3 307 819,8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-1 999 084,8</w:t>
            </w:r>
          </w:p>
        </w:tc>
      </w:tr>
      <w:tr w:rsidR="0036649B" w:rsidTr="0036649B">
        <w:trPr>
          <w:trHeight w:val="270"/>
        </w:trPr>
        <w:tc>
          <w:tcPr>
            <w:tcW w:w="1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36649B" w:rsidTr="0036649B">
        <w:trPr>
          <w:trHeight w:val="270"/>
        </w:trPr>
        <w:tc>
          <w:tcPr>
            <w:tcW w:w="1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Rozdíl příjmů a výdajů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-421 742,0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-2 162 528,2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-1 780 757,7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1 025 467,3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2 806 225,0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1 447 209,3</w:t>
            </w:r>
          </w:p>
        </w:tc>
      </w:tr>
    </w:tbl>
    <w:p w:rsidR="00803114" w:rsidRDefault="00803114" w:rsidP="005161C0">
      <w:pPr>
        <w:outlineLvl w:val="0"/>
      </w:pPr>
    </w:p>
    <w:p w:rsidR="00803114" w:rsidRDefault="00803114"/>
    <w:p w:rsidR="00803114" w:rsidRDefault="00803114"/>
    <w:p w:rsidR="00963853" w:rsidRDefault="00F5571B" w:rsidP="008F568C">
      <w:pPr>
        <w:jc w:val="both"/>
      </w:pPr>
      <w:r w:rsidRPr="00635A83">
        <w:rPr>
          <w:b/>
          <w:bCs/>
        </w:rPr>
        <w:t>1.1.</w:t>
      </w:r>
      <w:r w:rsidRPr="00625F2F">
        <w:rPr>
          <w:b/>
          <w:bCs/>
        </w:rPr>
        <w:t xml:space="preserve"> </w:t>
      </w:r>
      <w:r w:rsidRPr="00F5571B">
        <w:rPr>
          <w:b/>
          <w:bCs/>
          <w:u w:val="single"/>
        </w:rPr>
        <w:t>M</w:t>
      </w:r>
      <w:r w:rsidR="00803114" w:rsidRPr="00F5571B">
        <w:rPr>
          <w:b/>
          <w:bCs/>
          <w:u w:val="single"/>
        </w:rPr>
        <w:t xml:space="preserve">eziroční </w:t>
      </w:r>
      <w:r w:rsidR="008A68BC">
        <w:rPr>
          <w:b/>
          <w:bCs/>
          <w:u w:val="single"/>
        </w:rPr>
        <w:t>snížení</w:t>
      </w:r>
      <w:r w:rsidR="00F175DC">
        <w:rPr>
          <w:b/>
          <w:bCs/>
          <w:u w:val="single"/>
        </w:rPr>
        <w:t xml:space="preserve"> </w:t>
      </w:r>
      <w:r w:rsidR="00803114" w:rsidRPr="00F5571B">
        <w:rPr>
          <w:b/>
          <w:bCs/>
          <w:u w:val="single"/>
        </w:rPr>
        <w:t>příjmů</w:t>
      </w:r>
      <w:r w:rsidR="00803114" w:rsidRPr="00AB2650">
        <w:rPr>
          <w:b/>
          <w:bCs/>
        </w:rPr>
        <w:t xml:space="preserve"> </w:t>
      </w:r>
      <w:r w:rsidR="00803114" w:rsidRPr="00AB2650">
        <w:t>k</w:t>
      </w:r>
      <w:r w:rsidR="0087436F">
        <w:t> </w:t>
      </w:r>
      <w:r w:rsidR="00803114" w:rsidRPr="00AB2650">
        <w:t>3</w:t>
      </w:r>
      <w:r w:rsidR="0087436F">
        <w:t>1. 12</w:t>
      </w:r>
      <w:r w:rsidR="00803114" w:rsidRPr="00AB2650">
        <w:t>.</w:t>
      </w:r>
      <w:r w:rsidR="008F568C">
        <w:t xml:space="preserve"> 201</w:t>
      </w:r>
      <w:r w:rsidR="008A68BC">
        <w:t>5</w:t>
      </w:r>
      <w:r w:rsidR="008F568C">
        <w:t xml:space="preserve"> </w:t>
      </w:r>
      <w:r w:rsidR="008A68BC">
        <w:t xml:space="preserve">vykazují </w:t>
      </w:r>
      <w:r w:rsidR="00703889">
        <w:t>všechny druhy příjmů</w:t>
      </w:r>
      <w:r w:rsidR="0021374D">
        <w:t xml:space="preserve"> vyjma příjmů daňových</w:t>
      </w:r>
      <w:r w:rsidR="00703889">
        <w:t>,</w:t>
      </w:r>
      <w:r w:rsidR="0021374D">
        <w:t xml:space="preserve"> které meziročně vzrostly o </w:t>
      </w:r>
      <w:r w:rsidR="0087436F">
        <w:t>25 822,4</w:t>
      </w:r>
      <w:r w:rsidR="0021374D">
        <w:t xml:space="preserve"> tis. Kč tj. o </w:t>
      </w:r>
      <w:r w:rsidR="0043744B">
        <w:t>1,92</w:t>
      </w:r>
      <w:r w:rsidR="0021374D">
        <w:t xml:space="preserve"> %.  N</w:t>
      </w:r>
      <w:r w:rsidR="00703889">
        <w:t>ejvýznamnější je</w:t>
      </w:r>
      <w:r w:rsidR="00BA673D">
        <w:t xml:space="preserve"> snížení</w:t>
      </w:r>
      <w:r w:rsidR="00F175DC">
        <w:t xml:space="preserve"> </w:t>
      </w:r>
      <w:r>
        <w:t>příjmů</w:t>
      </w:r>
      <w:r w:rsidR="005D1061" w:rsidRPr="00AB2650">
        <w:t xml:space="preserve"> </w:t>
      </w:r>
      <w:r w:rsidR="00803114" w:rsidRPr="00C819F2">
        <w:t>ve třídě 4 - „přijaté transfery</w:t>
      </w:r>
      <w:r w:rsidR="00803114" w:rsidRPr="00AB2650">
        <w:t xml:space="preserve">“ o </w:t>
      </w:r>
      <w:r w:rsidR="0043744B">
        <w:t>503 187,1</w:t>
      </w:r>
      <w:r w:rsidR="00974A45" w:rsidRPr="00AB2650">
        <w:t> </w:t>
      </w:r>
      <w:r w:rsidR="00803114" w:rsidRPr="00AB2650">
        <w:t>tis.</w:t>
      </w:r>
      <w:r w:rsidR="001D56E9" w:rsidRPr="00AB2650">
        <w:t> </w:t>
      </w:r>
      <w:r w:rsidR="00803114" w:rsidRPr="00AB2650">
        <w:t>Kč</w:t>
      </w:r>
      <w:r w:rsidR="00E476EE">
        <w:t xml:space="preserve">. </w:t>
      </w:r>
    </w:p>
    <w:p w:rsidR="00963853" w:rsidRDefault="00963853" w:rsidP="008F568C">
      <w:pPr>
        <w:jc w:val="both"/>
      </w:pPr>
    </w:p>
    <w:p w:rsidR="0043744B" w:rsidRDefault="0043744B" w:rsidP="0043744B">
      <w:pPr>
        <w:jc w:val="both"/>
      </w:pPr>
      <w:r w:rsidRPr="007C2F7E">
        <w:rPr>
          <w:b/>
          <w:u w:val="single"/>
        </w:rPr>
        <w:t>Daňové příjmy</w:t>
      </w:r>
      <w:r w:rsidRPr="00E36682">
        <w:t xml:space="preserve"> jsou</w:t>
      </w:r>
      <w:r>
        <w:t xml:space="preserve"> oproti </w:t>
      </w:r>
      <w:r w:rsidR="0036649B">
        <w:t>skutečnosti</w:t>
      </w:r>
      <w:r>
        <w:t xml:space="preserve"> k 31. 12. 2014 vyšší o 25 822,4 tis. Kč.</w:t>
      </w:r>
      <w:r w:rsidRPr="002C381F">
        <w:t xml:space="preserve"> </w:t>
      </w:r>
      <w:r w:rsidR="0036649B">
        <w:t xml:space="preserve">Jejich objem ovlivnilo </w:t>
      </w:r>
      <w:r>
        <w:t>především meziročně vyšší inkaso daně z nemovitostí o 12 749,3 tis. Kč a vyšší objem místních poplatků z vybraných činností a služeb o 17 335,7 tis. Kč. Naopak nižší byl objem správních poplatků o 4 232,3 tis. Kč.</w:t>
      </w:r>
    </w:p>
    <w:p w:rsidR="0043744B" w:rsidRDefault="0043744B" w:rsidP="008F568C">
      <w:pPr>
        <w:jc w:val="both"/>
      </w:pPr>
    </w:p>
    <w:p w:rsidR="0027459B" w:rsidRDefault="0027459B" w:rsidP="0027459B">
      <w:pPr>
        <w:jc w:val="both"/>
      </w:pPr>
      <w:r w:rsidRPr="007C2F7E">
        <w:rPr>
          <w:b/>
          <w:u w:val="single"/>
        </w:rPr>
        <w:t>Nedaňové příjmy</w:t>
      </w:r>
      <w:r>
        <w:t xml:space="preserve"> poklesly oproti r. 2014 o 66 167,5 tis. Kč především díky nižšímu objemu přijatých nekapitálových příspěvk</w:t>
      </w:r>
      <w:r w:rsidR="0036649B">
        <w:t xml:space="preserve">ů a náhrad o 68 319,6 tis. Kč, </w:t>
      </w:r>
      <w:r>
        <w:t>výnosů z finančního majetku o 8 982,7 tis. Kč a přijatých vratek z finančního vypořádání předchozích let o 6 113,2 tis. Kč.</w:t>
      </w:r>
    </w:p>
    <w:p w:rsidR="0027459B" w:rsidRDefault="0027459B" w:rsidP="0027459B">
      <w:pPr>
        <w:jc w:val="both"/>
      </w:pPr>
    </w:p>
    <w:p w:rsidR="0027459B" w:rsidRPr="00E36682" w:rsidRDefault="0027459B" w:rsidP="0027459B">
      <w:pPr>
        <w:jc w:val="both"/>
        <w:rPr>
          <w:i/>
        </w:rPr>
      </w:pPr>
      <w:r w:rsidRPr="003C5995">
        <w:rPr>
          <w:i/>
        </w:rPr>
        <w:t>Nedaňové příjmy městských částí byly v minulosti snižovány o jimi provedené vratky finančních prostředků z minulých let na ZBÚ hl. m. Prahy, neboť v</w:t>
      </w:r>
      <w:r w:rsidRPr="003C5995">
        <w:rPr>
          <w:i/>
          <w:iCs/>
        </w:rPr>
        <w:t>ratky prostředků vyplývající z finančního vypořádání účtovaly městské části v souladu s platnou metodikou na příjmové položce 2221 se znaménkem mínus.</w:t>
      </w:r>
      <w:r w:rsidRPr="003C5995">
        <w:rPr>
          <w:i/>
        </w:rPr>
        <w:t xml:space="preserve"> V souladu s novelou vyhlášky MF č. 323/2002 Sb., o rozpočtové skladbě jsou od 1. 1. 2015 vratk</w:t>
      </w:r>
      <w:r w:rsidR="0036649B">
        <w:rPr>
          <w:i/>
        </w:rPr>
        <w:t xml:space="preserve">y </w:t>
      </w:r>
      <w:r w:rsidRPr="003C5995">
        <w:rPr>
          <w:i/>
        </w:rPr>
        <w:t xml:space="preserve">nedočerpaných dotací z předchozího roku v rámci </w:t>
      </w:r>
      <w:r w:rsidR="0036649B">
        <w:rPr>
          <w:i/>
        </w:rPr>
        <w:t>finančního vypořádání evidovány</w:t>
      </w:r>
      <w:r w:rsidRPr="003C5995">
        <w:rPr>
          <w:i/>
        </w:rPr>
        <w:t xml:space="preserve"> městskými částmi na výdajové položce 5347.</w:t>
      </w:r>
      <w:r>
        <w:rPr>
          <w:i/>
        </w:rPr>
        <w:t xml:space="preserve"> </w:t>
      </w:r>
    </w:p>
    <w:p w:rsidR="0027459B" w:rsidRDefault="0027459B" w:rsidP="008F568C">
      <w:pPr>
        <w:jc w:val="both"/>
      </w:pPr>
    </w:p>
    <w:p w:rsidR="0027459B" w:rsidRDefault="0027459B" w:rsidP="0027459B">
      <w:pPr>
        <w:jc w:val="both"/>
      </w:pPr>
      <w:r>
        <w:t xml:space="preserve">Významný je meziroční </w:t>
      </w:r>
      <w:r w:rsidRPr="007C2F7E">
        <w:t xml:space="preserve">pokles </w:t>
      </w:r>
      <w:r w:rsidRPr="007C2F7E">
        <w:rPr>
          <w:b/>
          <w:u w:val="single"/>
        </w:rPr>
        <w:t>kapitálových příjmů</w:t>
      </w:r>
      <w:r>
        <w:t xml:space="preserve"> o 96 538,8 tis. Kč. Tento stav je dán mimořádným vývojem v roce 2014.  </w:t>
      </w:r>
      <w:r w:rsidRPr="00E9504C">
        <w:t xml:space="preserve">Jedná </w:t>
      </w:r>
      <w:r>
        <w:t xml:space="preserve">se obvykle </w:t>
      </w:r>
      <w:r w:rsidRPr="00E9504C">
        <w:t xml:space="preserve">o objemově nevýznamné příjmy rozpočtově tvořící </w:t>
      </w:r>
      <w:r>
        <w:t>setiny</w:t>
      </w:r>
      <w:r w:rsidR="0036649B">
        <w:t xml:space="preserve"> % příjmů </w:t>
      </w:r>
      <w:r w:rsidRPr="00E9504C">
        <w:t>RU městských částí</w:t>
      </w:r>
      <w:r>
        <w:t xml:space="preserve"> a j</w:t>
      </w:r>
      <w:r w:rsidRPr="00E9504C">
        <w:t xml:space="preserve">sou zde vykazovány </w:t>
      </w:r>
      <w:r>
        <w:t xml:space="preserve">dary od </w:t>
      </w:r>
      <w:r w:rsidRPr="00E9504C">
        <w:t>různých subjektů na financování investičních akcí</w:t>
      </w:r>
      <w:r>
        <w:t>. V loňském roce jejich objem výjimečně vzrostl na 133 264,3 tis. Kč díky příjmu z </w:t>
      </w:r>
      <w:r w:rsidR="0036649B">
        <w:t>prodeje</w:t>
      </w:r>
      <w:r>
        <w:t xml:space="preserve"> 100 % akcií společnosti Viktoria Žižkov a.s. ve výši 93 533,7 tis. Kč, který realizovala městská část Praha 3. </w:t>
      </w:r>
    </w:p>
    <w:p w:rsidR="0043744B" w:rsidRDefault="0043744B" w:rsidP="008F568C">
      <w:pPr>
        <w:jc w:val="both"/>
      </w:pPr>
    </w:p>
    <w:p w:rsidR="00C72ED2" w:rsidRDefault="0027459B" w:rsidP="00C72ED2">
      <w:pPr>
        <w:jc w:val="both"/>
      </w:pPr>
      <w:r w:rsidRPr="007C2F7E">
        <w:rPr>
          <w:b/>
          <w:u w:val="single"/>
        </w:rPr>
        <w:lastRenderedPageBreak/>
        <w:t>P</w:t>
      </w:r>
      <w:r w:rsidR="003267F1" w:rsidRPr="007C2F7E">
        <w:rPr>
          <w:b/>
          <w:u w:val="single"/>
        </w:rPr>
        <w:t>řijat</w:t>
      </w:r>
      <w:r w:rsidRPr="007C2F7E">
        <w:rPr>
          <w:b/>
          <w:u w:val="single"/>
        </w:rPr>
        <w:t>é</w:t>
      </w:r>
      <w:r w:rsidR="003267F1" w:rsidRPr="007C2F7E">
        <w:rPr>
          <w:b/>
          <w:u w:val="single"/>
        </w:rPr>
        <w:t xml:space="preserve"> transfer</w:t>
      </w:r>
      <w:r w:rsidRPr="007C2F7E">
        <w:rPr>
          <w:b/>
          <w:u w:val="single"/>
        </w:rPr>
        <w:t>y</w:t>
      </w:r>
      <w:r w:rsidRPr="007C2F7E">
        <w:rPr>
          <w:b/>
        </w:rPr>
        <w:t xml:space="preserve"> </w:t>
      </w:r>
      <w:r w:rsidRPr="0027459B">
        <w:t>k</w:t>
      </w:r>
      <w:r>
        <w:t> 31. 12. 2015 činily 10</w:t>
      </w:r>
      <w:r w:rsidR="007C2F7E">
        <w:t> </w:t>
      </w:r>
      <w:r>
        <w:t>671</w:t>
      </w:r>
      <w:r w:rsidR="007C2F7E">
        <w:t xml:space="preserve"> 781</w:t>
      </w:r>
      <w:r>
        <w:t>,</w:t>
      </w:r>
      <w:r w:rsidR="007C2F7E">
        <w:t>1</w:t>
      </w:r>
      <w:r>
        <w:t xml:space="preserve"> tis. Kč</w:t>
      </w:r>
      <w:r w:rsidR="002213FB">
        <w:t xml:space="preserve">, což představuje meziroční snížení o 503 187,1 tis. Kč. Tento vývoj byl dán především díky nižším </w:t>
      </w:r>
      <w:r w:rsidR="002213FB" w:rsidRPr="007C2F7E">
        <w:rPr>
          <w:b/>
        </w:rPr>
        <w:t>převodům z vlastních fondů</w:t>
      </w:r>
      <w:r w:rsidR="002213FB">
        <w:t xml:space="preserve"> o 1 238 387,0 tis. Kč. </w:t>
      </w:r>
      <w:r w:rsidR="001E0B26" w:rsidRPr="0053073A">
        <w:t xml:space="preserve">Nižší jsou meziročně rovněž </w:t>
      </w:r>
      <w:r w:rsidR="00CC6BA6" w:rsidRPr="00C72ED2">
        <w:rPr>
          <w:b/>
        </w:rPr>
        <w:t>transfery z</w:t>
      </w:r>
      <w:r w:rsidR="002213FB" w:rsidRPr="00C72ED2">
        <w:rPr>
          <w:b/>
        </w:rPr>
        <w:t>e</w:t>
      </w:r>
      <w:r w:rsidR="007C2F7E" w:rsidRPr="00C72ED2">
        <w:rPr>
          <w:b/>
        </w:rPr>
        <w:t xml:space="preserve"> </w:t>
      </w:r>
      <w:r w:rsidR="002213FB" w:rsidRPr="00C72ED2">
        <w:rPr>
          <w:b/>
        </w:rPr>
        <w:t>státního</w:t>
      </w:r>
      <w:r w:rsidR="00CC6BA6" w:rsidRPr="00C72ED2">
        <w:rPr>
          <w:b/>
        </w:rPr>
        <w:t> rozpočtu</w:t>
      </w:r>
      <w:r w:rsidR="00C72ED2">
        <w:rPr>
          <w:b/>
        </w:rPr>
        <w:t xml:space="preserve">, </w:t>
      </w:r>
      <w:r w:rsidR="00C72ED2" w:rsidRPr="006F4F04">
        <w:rPr>
          <w:b/>
        </w:rPr>
        <w:t>státních finančních aktiv a národních fondů</w:t>
      </w:r>
      <w:r w:rsidR="00CC6BA6" w:rsidRPr="0053073A">
        <w:t xml:space="preserve"> </w:t>
      </w:r>
      <w:r w:rsidR="00BD4DBF" w:rsidRPr="0053073A">
        <w:t xml:space="preserve">o </w:t>
      </w:r>
      <w:r w:rsidR="002213FB">
        <w:t>37 066,0</w:t>
      </w:r>
      <w:r w:rsidR="00BD4DBF" w:rsidRPr="0053073A">
        <w:t xml:space="preserve"> tis. Kč</w:t>
      </w:r>
      <w:r w:rsidR="002213FB">
        <w:t xml:space="preserve">. Naopak objem transferů poskytnutých městským částem </w:t>
      </w:r>
      <w:r w:rsidR="002213FB" w:rsidRPr="00C72ED2">
        <w:rPr>
          <w:b/>
        </w:rPr>
        <w:t>z rozpočtu hl. m. Prahy</w:t>
      </w:r>
      <w:r w:rsidR="002213FB">
        <w:t xml:space="preserve"> byl meziročně vyšší o 281 016,8 tis. Kč a </w:t>
      </w:r>
      <w:r w:rsidR="002213FB" w:rsidRPr="00C72ED2">
        <w:rPr>
          <w:b/>
        </w:rPr>
        <w:t>z rozpočtu hl. m. Prahy ve funkci kraje</w:t>
      </w:r>
      <w:r w:rsidR="002213FB">
        <w:t xml:space="preserve"> </w:t>
      </w:r>
      <w:r w:rsidR="007977D9">
        <w:t>na financování projektů z Operačního programu Praha – Konkurenceschopnost</w:t>
      </w:r>
      <w:r w:rsidR="002213FB">
        <w:t xml:space="preserve"> </w:t>
      </w:r>
      <w:r w:rsidR="007C2F7E">
        <w:t>a Operačního programu Praha - Adaptabilita</w:t>
      </w:r>
      <w:r w:rsidR="00A51443">
        <w:t xml:space="preserve"> byl</w:t>
      </w:r>
      <w:r w:rsidR="002213FB">
        <w:t xml:space="preserve"> vyšší o 117 392,5 tis. Kč</w:t>
      </w:r>
      <w:r w:rsidR="007977D9">
        <w:t xml:space="preserve">. </w:t>
      </w:r>
      <w:r w:rsidR="007C2F7E">
        <w:t xml:space="preserve">Zatímco podíl přijatých transferů se během </w:t>
      </w:r>
      <w:proofErr w:type="gramStart"/>
      <w:r w:rsidR="007C2F7E">
        <w:t>uplynulých  let</w:t>
      </w:r>
      <w:proofErr w:type="gramEnd"/>
      <w:r w:rsidR="007C2F7E">
        <w:t xml:space="preserve"> pohyboval na úrovni cca 86 % celkových příjmů, struktura přijatých tr</w:t>
      </w:r>
      <w:r w:rsidR="0036649B">
        <w:t xml:space="preserve">ansferů se mění. Od roku 2011, </w:t>
      </w:r>
      <w:r w:rsidR="007C2F7E">
        <w:t xml:space="preserve">kdy tvořily </w:t>
      </w:r>
      <w:r w:rsidR="007C2F7E" w:rsidRPr="00714A84">
        <w:rPr>
          <w:b/>
        </w:rPr>
        <w:t>převody z fondů podnikatelské činnosti</w:t>
      </w:r>
      <w:r w:rsidR="007C2F7E">
        <w:t xml:space="preserve"> 28,2 % přijatých transferů, jejich podíl na objemu přijatých transferů výrazně ros</w:t>
      </w:r>
      <w:r w:rsidR="0036649B">
        <w:t xml:space="preserve">tl, a to v roce 2012 na 38,5 % </w:t>
      </w:r>
      <w:r w:rsidR="007C2F7E">
        <w:t xml:space="preserve">a v roce 2013 na 40,9 %. Důvodem stále se zvyšujícího zapojování výsledků podnikatelské činnosti do rozpočtových příjmů byl především nedostatek finančních prostředků na zajištění financování obecního školství, tudíž byly výnosy z podnikatelské činnosti v podstatné míře využívány na pokrytí běžných i kapitálových výdajů v oblasti školství. V roce 2014 a 2015 dochází meziročně ke </w:t>
      </w:r>
      <w:r w:rsidR="007C2F7E" w:rsidRPr="00714A84">
        <w:t>snížení převodů z fondů podnikatelské činnosti</w:t>
      </w:r>
      <w:r w:rsidR="007C2F7E">
        <w:t xml:space="preserve">, a to o 479 455,1 tis. Kč v r. 2014 a o 1 238 387,0 tis. Kč v roce 2015. Současně dochází i ke snížení procentuálního podílu </w:t>
      </w:r>
      <w:r w:rsidR="007C2F7E" w:rsidRPr="003358A8">
        <w:t>převodů z fondů podnikatelské činnosti</w:t>
      </w:r>
      <w:r w:rsidR="007C2F7E">
        <w:t xml:space="preserve"> na celkových příjmech na 34,7 % v roce 2014 a 26,7 % v roce 2015. Důvodem tohoto vývoje je zvýšení dotací městským částem z rozpočtu hl. m. Prahy, jejichž podstatná část směřovala na krytí výdajů právě do oblasti školství.</w:t>
      </w:r>
      <w:r w:rsidR="00C72ED2">
        <w:t xml:space="preserve"> </w:t>
      </w:r>
      <w:r w:rsidR="00C72ED2" w:rsidRPr="006F4F04">
        <w:rPr>
          <w:b/>
        </w:rPr>
        <w:t>Transfery</w:t>
      </w:r>
      <w:r w:rsidR="00C72ED2" w:rsidRPr="000570C7">
        <w:t xml:space="preserve"> </w:t>
      </w:r>
      <w:r w:rsidR="00C72ED2" w:rsidRPr="00DB487B">
        <w:rPr>
          <w:b/>
        </w:rPr>
        <w:t>ze státních fondů</w:t>
      </w:r>
      <w:r w:rsidR="00C72ED2" w:rsidRPr="000570C7">
        <w:t xml:space="preserve"> </w:t>
      </w:r>
      <w:r w:rsidR="00C72ED2">
        <w:t xml:space="preserve">jsou meziročně vyšší </w:t>
      </w:r>
      <w:r w:rsidR="00C72ED2" w:rsidRPr="000570C7">
        <w:t xml:space="preserve">o </w:t>
      </w:r>
      <w:r w:rsidR="00C72ED2">
        <w:t>1 026,8</w:t>
      </w:r>
      <w:r w:rsidR="00C72ED2" w:rsidRPr="000570C7">
        <w:t xml:space="preserve"> tis. Kč</w:t>
      </w:r>
      <w:r w:rsidR="00C72ED2">
        <w:t xml:space="preserve">. Naopak </w:t>
      </w:r>
      <w:r w:rsidR="00C72ED2" w:rsidRPr="00145133">
        <w:rPr>
          <w:b/>
        </w:rPr>
        <w:t>t</w:t>
      </w:r>
      <w:r w:rsidR="00C72ED2" w:rsidRPr="00C72ED2">
        <w:rPr>
          <w:b/>
        </w:rPr>
        <w:t>ransfery ze</w:t>
      </w:r>
      <w:r w:rsidR="00C72ED2" w:rsidRPr="00DB487B">
        <w:rPr>
          <w:b/>
        </w:rPr>
        <w:t xml:space="preserve"> zahraničí</w:t>
      </w:r>
      <w:r w:rsidR="00C72ED2">
        <w:rPr>
          <w:b/>
        </w:rPr>
        <w:t xml:space="preserve"> </w:t>
      </w:r>
      <w:r w:rsidR="00C72ED2" w:rsidRPr="00C72ED2">
        <w:t>dosáhly nižšího objemu o</w:t>
      </w:r>
      <w:r w:rsidR="00C72ED2">
        <w:t>proti r. 2014 o</w:t>
      </w:r>
      <w:r w:rsidR="00C72ED2" w:rsidRPr="00C72ED2">
        <w:t xml:space="preserve"> 747,8 tis. Kč</w:t>
      </w:r>
      <w:r w:rsidR="00C72ED2">
        <w:t xml:space="preserve"> a transfery </w:t>
      </w:r>
      <w:r w:rsidR="00C72ED2" w:rsidRPr="005510FB">
        <w:rPr>
          <w:b/>
        </w:rPr>
        <w:t>z území jiného kraje</w:t>
      </w:r>
      <w:r w:rsidR="00C72ED2">
        <w:t xml:space="preserve"> byly nižší o 1 150,0 tis. Kč.  </w:t>
      </w:r>
    </w:p>
    <w:p w:rsidR="007977D9" w:rsidRDefault="007977D9" w:rsidP="00E91E5B">
      <w:pPr>
        <w:jc w:val="both"/>
      </w:pPr>
    </w:p>
    <w:p w:rsidR="00550513" w:rsidRPr="00145133" w:rsidRDefault="00F6467A" w:rsidP="00F6467A">
      <w:pPr>
        <w:jc w:val="both"/>
        <w:rPr>
          <w:i/>
        </w:rPr>
      </w:pPr>
      <w:r w:rsidRPr="00145133">
        <w:rPr>
          <w:i/>
        </w:rPr>
        <w:t xml:space="preserve">Na rozdíl od letošního roku byl v minulých letech objem přijatých transferů MČ snižován o </w:t>
      </w:r>
      <w:r w:rsidRPr="00145133">
        <w:rPr>
          <w:b/>
          <w:i/>
        </w:rPr>
        <w:t xml:space="preserve">transfery z rozpočtů městských částí </w:t>
      </w:r>
      <w:r w:rsidRPr="00145133">
        <w:rPr>
          <w:i/>
        </w:rPr>
        <w:t>do rozpočtu hl. m. Prahy</w:t>
      </w:r>
      <w:r w:rsidR="00550513" w:rsidRPr="00145133">
        <w:rPr>
          <w:i/>
        </w:rPr>
        <w:t xml:space="preserve"> a rozpočtů MČ</w:t>
      </w:r>
      <w:r w:rsidRPr="00145133">
        <w:rPr>
          <w:i/>
        </w:rPr>
        <w:t xml:space="preserve"> (položka </w:t>
      </w:r>
      <w:smartTag w:uri="urn:schemas-microsoft-com:office:smarttags" w:element="metricconverter">
        <w:smartTagPr>
          <w:attr w:name="ProductID" w:val="4129 a"/>
        </w:smartTagPr>
        <w:r w:rsidRPr="00145133">
          <w:rPr>
            <w:i/>
          </w:rPr>
          <w:t>4129 a</w:t>
        </w:r>
      </w:smartTag>
      <w:r w:rsidRPr="00145133">
        <w:rPr>
          <w:i/>
        </w:rPr>
        <w:t xml:space="preserve"> 4229), v souladu s novelou v</w:t>
      </w:r>
      <w:r w:rsidR="0036649B">
        <w:rPr>
          <w:i/>
        </w:rPr>
        <w:t xml:space="preserve">yhlášky o rozpočtové skladbě v </w:t>
      </w:r>
      <w:r w:rsidRPr="00145133">
        <w:rPr>
          <w:i/>
        </w:rPr>
        <w:t>r. 2015 vykazují městské části</w:t>
      </w:r>
      <w:r w:rsidR="00550513" w:rsidRPr="00145133">
        <w:rPr>
          <w:i/>
        </w:rPr>
        <w:t xml:space="preserve"> poskytnutí těchto</w:t>
      </w:r>
      <w:r w:rsidRPr="00145133">
        <w:rPr>
          <w:i/>
        </w:rPr>
        <w:t xml:space="preserve"> transfer</w:t>
      </w:r>
      <w:r w:rsidR="00550513" w:rsidRPr="00145133">
        <w:rPr>
          <w:i/>
        </w:rPr>
        <w:t>ů</w:t>
      </w:r>
      <w:r w:rsidRPr="00145133">
        <w:rPr>
          <w:i/>
        </w:rPr>
        <w:t xml:space="preserve"> v bě</w:t>
      </w:r>
      <w:r w:rsidR="00550513" w:rsidRPr="00145133">
        <w:rPr>
          <w:i/>
        </w:rPr>
        <w:t>žných výdajích na položce 5347 a transfery z rozpočtů městských částí představují pouze transfery</w:t>
      </w:r>
      <w:r w:rsidR="00EE7653" w:rsidRPr="00145133">
        <w:rPr>
          <w:i/>
        </w:rPr>
        <w:t xml:space="preserve"> přijaté </w:t>
      </w:r>
      <w:r w:rsidR="00550513" w:rsidRPr="00145133">
        <w:rPr>
          <w:i/>
        </w:rPr>
        <w:t xml:space="preserve">od jiné městské části.  </w:t>
      </w:r>
    </w:p>
    <w:p w:rsidR="00F6467A" w:rsidRPr="00EE7653" w:rsidRDefault="00550513" w:rsidP="00F6467A">
      <w:pPr>
        <w:jc w:val="both"/>
        <w:rPr>
          <w:i/>
        </w:rPr>
      </w:pPr>
      <w:r w:rsidRPr="00EE7653">
        <w:rPr>
          <w:i/>
        </w:rPr>
        <w:t xml:space="preserve">Naopak v </w:t>
      </w:r>
      <w:r w:rsidR="00F6467A" w:rsidRPr="00EE7653">
        <w:rPr>
          <w:i/>
        </w:rPr>
        <w:t xml:space="preserve">přijatých transferech městské části po změně vyhlášky evidují i návratné finanční výpomoci a zápůjčky poskytnuté jim hl. městem Prahou (dříve položka 8117, 8127) a dokrytí v rámci finančního vypořádání s rozpočtem hl. m. Prahy a státním rozpočtem (dříve evidováno na položce 2221). </w:t>
      </w:r>
    </w:p>
    <w:p w:rsidR="008F164C" w:rsidRDefault="008F164C" w:rsidP="00663F3B">
      <w:pPr>
        <w:jc w:val="both"/>
      </w:pPr>
    </w:p>
    <w:p w:rsidR="00EE7653" w:rsidRDefault="00EE7653" w:rsidP="00663F3B">
      <w:pPr>
        <w:jc w:val="both"/>
        <w:rPr>
          <w:b/>
        </w:rPr>
      </w:pPr>
    </w:p>
    <w:p w:rsidR="001412C8" w:rsidRDefault="00525AEA" w:rsidP="001412C8">
      <w:pPr>
        <w:jc w:val="both"/>
      </w:pPr>
      <w:r w:rsidRPr="001412C8">
        <w:rPr>
          <w:b/>
        </w:rPr>
        <w:t xml:space="preserve">1.2. </w:t>
      </w:r>
      <w:r w:rsidRPr="001412C8">
        <w:rPr>
          <w:b/>
          <w:u w:val="single"/>
        </w:rPr>
        <w:t xml:space="preserve">Meziročně nižší </w:t>
      </w:r>
      <w:r w:rsidRPr="001412C8">
        <w:rPr>
          <w:b/>
          <w:bCs/>
          <w:u w:val="single"/>
        </w:rPr>
        <w:t xml:space="preserve">čerpání výdajů </w:t>
      </w:r>
      <w:r w:rsidR="0036649B">
        <w:rPr>
          <w:bCs/>
        </w:rPr>
        <w:t xml:space="preserve">o </w:t>
      </w:r>
      <w:r w:rsidR="001412C8">
        <w:rPr>
          <w:bCs/>
        </w:rPr>
        <w:t>2 087 280,3</w:t>
      </w:r>
      <w:r w:rsidRPr="001412C8">
        <w:rPr>
          <w:bCs/>
        </w:rPr>
        <w:t xml:space="preserve"> tis. Kč</w:t>
      </w:r>
      <w:r w:rsidRPr="001412C8">
        <w:t xml:space="preserve"> je dáno v rozhodující míře nižším objemem</w:t>
      </w:r>
      <w:r w:rsidR="00EF0523" w:rsidRPr="001412C8">
        <w:t xml:space="preserve"> čerpání</w:t>
      </w:r>
      <w:r w:rsidRPr="001412C8">
        <w:rPr>
          <w:color w:val="FF0000"/>
        </w:rPr>
        <w:t xml:space="preserve"> </w:t>
      </w:r>
      <w:r w:rsidRPr="001412C8">
        <w:t xml:space="preserve">kapitálových výdajů o </w:t>
      </w:r>
      <w:r w:rsidR="00A3552E" w:rsidRPr="001412C8">
        <w:t>1</w:t>
      </w:r>
      <w:r w:rsidR="00066080">
        <w:t> 9</w:t>
      </w:r>
      <w:r w:rsidR="001412C8">
        <w:t>99 084,8</w:t>
      </w:r>
      <w:r w:rsidRPr="001412C8">
        <w:t xml:space="preserve"> tis. Kč. Čerpání běžných výdajů bylo </w:t>
      </w:r>
      <w:r w:rsidR="001412C8">
        <w:t>v roce 2015</w:t>
      </w:r>
      <w:r w:rsidRPr="001412C8">
        <w:t xml:space="preserve"> </w:t>
      </w:r>
      <w:r w:rsidR="001412C8">
        <w:t xml:space="preserve">rovněž </w:t>
      </w:r>
      <w:r w:rsidRPr="001412C8">
        <w:t xml:space="preserve">nižší </w:t>
      </w:r>
      <w:r w:rsidR="001412C8">
        <w:t>než v roce předešlém, a t</w:t>
      </w:r>
      <w:r w:rsidRPr="001412C8">
        <w:t xml:space="preserve">o </w:t>
      </w:r>
      <w:r w:rsidR="001412C8">
        <w:t>o 88 195,5</w:t>
      </w:r>
      <w:r w:rsidRPr="001412C8">
        <w:t xml:space="preserve"> tis. Kč.</w:t>
      </w:r>
      <w:r w:rsidR="001412C8">
        <w:t xml:space="preserve">   Poměr běžných a kapitálových výdajů na celkových výdajích se během let 2011-2013 pohyboval na úrovni cca 70 : 30, v roce 2014 se poměr změnil ve prospěch kapitálových výdajů, které dosáhly téměř 40 % celkových výdajů a v roce 2015 se poměr opět vrátil na úroveň 70 : 30.</w:t>
      </w:r>
    </w:p>
    <w:p w:rsidR="00525AEA" w:rsidRDefault="00525AEA" w:rsidP="00525AEA">
      <w:pPr>
        <w:jc w:val="both"/>
      </w:pPr>
    </w:p>
    <w:p w:rsidR="00A3552E" w:rsidRDefault="00525AEA" w:rsidP="00525AEA">
      <w:pPr>
        <w:jc w:val="both"/>
      </w:pPr>
      <w:r>
        <w:t xml:space="preserve">Rozpočtovaný objem </w:t>
      </w:r>
      <w:r w:rsidRPr="00105DA5">
        <w:rPr>
          <w:u w:val="single"/>
        </w:rPr>
        <w:t>kapitálových výdajů</w:t>
      </w:r>
      <w:r>
        <w:t xml:space="preserve"> je meziročně nižší o 1</w:t>
      </w:r>
      <w:r w:rsidR="0049282A">
        <w:t> 610 724,2</w:t>
      </w:r>
      <w:r>
        <w:t xml:space="preserve"> tis. Kč, přesto jejich čerpání dosáhlo k</w:t>
      </w:r>
      <w:r w:rsidR="0049282A">
        <w:t xml:space="preserve"> 31. 12. </w:t>
      </w:r>
      <w:r>
        <w:t xml:space="preserve">2015 pouze </w:t>
      </w:r>
      <w:r w:rsidR="0049282A">
        <w:t xml:space="preserve">50,25 </w:t>
      </w:r>
      <w:r>
        <w:t>% RU, zatímco v</w:t>
      </w:r>
      <w:r w:rsidR="0049282A">
        <w:t> </w:t>
      </w:r>
      <w:r>
        <w:t>roce</w:t>
      </w:r>
      <w:r w:rsidR="0049282A">
        <w:t xml:space="preserve"> předcházejícím 64,65</w:t>
      </w:r>
      <w:r>
        <w:t xml:space="preserve"> % RU.  </w:t>
      </w:r>
    </w:p>
    <w:p w:rsidR="00A3552E" w:rsidRDefault="00A3552E" w:rsidP="00525AEA">
      <w:pPr>
        <w:jc w:val="both"/>
      </w:pPr>
    </w:p>
    <w:p w:rsidR="00525AEA" w:rsidRDefault="00525AEA" w:rsidP="00525AEA">
      <w:pPr>
        <w:jc w:val="both"/>
      </w:pPr>
      <w:r>
        <w:t xml:space="preserve">Rozpočtovaný objem </w:t>
      </w:r>
      <w:r w:rsidRPr="004E4238">
        <w:rPr>
          <w:u w:val="single"/>
        </w:rPr>
        <w:t>běžných výdajů</w:t>
      </w:r>
      <w:r>
        <w:t xml:space="preserve"> </w:t>
      </w:r>
      <w:r w:rsidR="0049282A">
        <w:t xml:space="preserve">byl k 31. 12. 2015 </w:t>
      </w:r>
      <w:r w:rsidR="00AD7794">
        <w:t xml:space="preserve">sice </w:t>
      </w:r>
      <w:r>
        <w:t xml:space="preserve">meziročně vyšší o </w:t>
      </w:r>
      <w:r w:rsidR="00A3552E">
        <w:t>2</w:t>
      </w:r>
      <w:r w:rsidR="00AD7794">
        <w:t>26 902,3</w:t>
      </w:r>
      <w:r>
        <w:t xml:space="preserve"> tis. Kč, ale skutečně realizované běžné výdaje jsou meziročně nižší o </w:t>
      </w:r>
      <w:r w:rsidR="00AD7794">
        <w:t>88 195,5</w:t>
      </w:r>
      <w:r>
        <w:t xml:space="preserve"> tis. Kč a jejich čerpání dosáhlo</w:t>
      </w:r>
      <w:r w:rsidR="00AD7794">
        <w:t xml:space="preserve"> v roce 2015 </w:t>
      </w:r>
      <w:r>
        <w:rPr>
          <w:bCs/>
        </w:rPr>
        <w:t xml:space="preserve">pouze </w:t>
      </w:r>
      <w:r w:rsidR="00AD7794">
        <w:rPr>
          <w:bCs/>
        </w:rPr>
        <w:t>86,02</w:t>
      </w:r>
      <w:r>
        <w:t xml:space="preserve"> % RU, což je ve vztahu k upravenému rozpočtu o </w:t>
      </w:r>
      <w:r w:rsidR="00A3552E">
        <w:t>3,</w:t>
      </w:r>
      <w:r w:rsidR="00AD7794">
        <w:t>10</w:t>
      </w:r>
      <w:r>
        <w:t xml:space="preserve"> % nižší čerpání než v loňském roce, kdy dosáhlo</w:t>
      </w:r>
      <w:r w:rsidR="00AD7794">
        <w:t xml:space="preserve"> 89,12</w:t>
      </w:r>
      <w:r>
        <w:t xml:space="preserve"> % RU.  </w:t>
      </w:r>
    </w:p>
    <w:p w:rsidR="00525AEA" w:rsidRDefault="00525AEA" w:rsidP="00525AEA">
      <w:pPr>
        <w:jc w:val="both"/>
      </w:pPr>
    </w:p>
    <w:p w:rsidR="00525AEA" w:rsidRDefault="00525AEA" w:rsidP="00525AEA">
      <w:pPr>
        <w:jc w:val="both"/>
        <w:rPr>
          <w:i/>
        </w:rPr>
      </w:pPr>
      <w:r w:rsidRPr="003C5995">
        <w:rPr>
          <w:i/>
        </w:rPr>
        <w:t>V</w:t>
      </w:r>
      <w:r>
        <w:rPr>
          <w:i/>
        </w:rPr>
        <w:t xml:space="preserve"> souladu s </w:t>
      </w:r>
      <w:r w:rsidRPr="003C5995">
        <w:rPr>
          <w:i/>
        </w:rPr>
        <w:t>novel</w:t>
      </w:r>
      <w:r>
        <w:rPr>
          <w:i/>
        </w:rPr>
        <w:t>ou</w:t>
      </w:r>
      <w:r w:rsidRPr="003C5995">
        <w:rPr>
          <w:i/>
        </w:rPr>
        <w:t xml:space="preserve"> vyhlášky o rozpočtové skladbě jsou</w:t>
      </w:r>
      <w:r>
        <w:rPr>
          <w:i/>
        </w:rPr>
        <w:t xml:space="preserve"> od r. 2015</w:t>
      </w:r>
      <w:r w:rsidRPr="003C5995">
        <w:rPr>
          <w:i/>
        </w:rPr>
        <w:t xml:space="preserve"> součástí běžných výdajů</w:t>
      </w:r>
      <w:r>
        <w:rPr>
          <w:i/>
        </w:rPr>
        <w:t xml:space="preserve"> městských částí (položka 5347) transfery z rozpočtů městských částí do rozpočtu hl. m. Prahy (dříve položka 4129, 4229 mínus), splátky půjček a návratných finančních výpomocí </w:t>
      </w:r>
      <w:r w:rsidR="00EF0523">
        <w:rPr>
          <w:i/>
        </w:rPr>
        <w:t xml:space="preserve">hl. městu Praze (dříve pol. </w:t>
      </w:r>
      <w:r w:rsidR="00EF0523" w:rsidRPr="00AD7794">
        <w:rPr>
          <w:i/>
        </w:rPr>
        <w:t>8124</w:t>
      </w:r>
      <w:r w:rsidRPr="00AD7794">
        <w:rPr>
          <w:i/>
        </w:rPr>
        <w:t>,</w:t>
      </w:r>
      <w:r>
        <w:rPr>
          <w:i/>
        </w:rPr>
        <w:t xml:space="preserve"> 8128) a vratky nedočerpaných transferů z finančního vypořádání za rok 2014 (dříve položka 2221 mínus). </w:t>
      </w:r>
    </w:p>
    <w:p w:rsidR="00A3552E" w:rsidRDefault="00A3552E" w:rsidP="00525AEA">
      <w:pPr>
        <w:jc w:val="both"/>
      </w:pPr>
    </w:p>
    <w:p w:rsidR="00525AEA" w:rsidRDefault="00525AEA" w:rsidP="00525AEA">
      <w:pPr>
        <w:jc w:val="both"/>
      </w:pPr>
      <w:r w:rsidRPr="00667737">
        <w:t>Výsledky hospodaření jednotlivých městských částí k 3</w:t>
      </w:r>
      <w:r w:rsidR="00AD7794">
        <w:t>1</w:t>
      </w:r>
      <w:r w:rsidRPr="00667737">
        <w:t>.</w:t>
      </w:r>
      <w:r>
        <w:t xml:space="preserve"> </w:t>
      </w:r>
      <w:r w:rsidR="00AD7794">
        <w:t>12</w:t>
      </w:r>
      <w:r w:rsidRPr="00667737">
        <w:t>.</w:t>
      </w:r>
      <w:r>
        <w:t> </w:t>
      </w:r>
      <w:r w:rsidRPr="00667737">
        <w:t>201</w:t>
      </w:r>
      <w:r>
        <w:t>5</w:t>
      </w:r>
      <w:r w:rsidRPr="00667737">
        <w:t xml:space="preserve"> dokumentuje následující přehled:</w:t>
      </w:r>
    </w:p>
    <w:p w:rsidR="00CE48E3" w:rsidRPr="004C402C" w:rsidRDefault="00CE48E3" w:rsidP="005A5AB8">
      <w:pPr>
        <w:jc w:val="both"/>
        <w:rPr>
          <w:highlight w:val="cyan"/>
        </w:rPr>
      </w:pPr>
    </w:p>
    <w:p w:rsidR="00803114" w:rsidRDefault="00803114"/>
    <w:tbl>
      <w:tblPr>
        <w:tblW w:w="8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900"/>
        <w:gridCol w:w="1560"/>
        <w:gridCol w:w="1600"/>
        <w:gridCol w:w="1640"/>
        <w:gridCol w:w="1500"/>
      </w:tblGrid>
      <w:tr w:rsidR="0036649B" w:rsidTr="0036649B">
        <w:trPr>
          <w:trHeight w:val="270"/>
          <w:tblHeader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v tis. Kč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36649B" w:rsidTr="0036649B">
        <w:trPr>
          <w:trHeight w:val="510"/>
          <w:tblHeader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6649B" w:rsidRDefault="0036649B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Městská část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6649B" w:rsidRDefault="0036649B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Příjmy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6649B" w:rsidRDefault="0036649B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Výdaje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36649B" w:rsidRDefault="0036649B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Výsledek hospodaření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36649B" w:rsidRDefault="0036649B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Výsledek hospodaření</w:t>
            </w:r>
          </w:p>
        </w:tc>
      </w:tr>
      <w:tr w:rsidR="0036649B" w:rsidTr="0036649B">
        <w:trPr>
          <w:trHeight w:val="270"/>
          <w:tblHeader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6649B" w:rsidRDefault="0036649B">
            <w:pPr>
              <w:jc w:val="center"/>
              <w:rPr>
                <w:rFonts w:ascii="Arial CE" w:hAnsi="Arial CE" w:cs="Arial CE"/>
                <w:i/>
                <w:iCs/>
                <w:sz w:val="20"/>
                <w:szCs w:val="20"/>
              </w:rPr>
            </w:pPr>
            <w:r>
              <w:rPr>
                <w:rFonts w:ascii="Arial CE" w:hAnsi="Arial CE" w:cs="Arial CE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6649B" w:rsidRDefault="0036649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skut. k 31.12.15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6649B" w:rsidRDefault="0036649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skut. k 31.12.15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36649B" w:rsidRDefault="0036649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skut. k 31.12.15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36649B" w:rsidRDefault="0036649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RU k 31.12.15</w:t>
            </w:r>
          </w:p>
        </w:tc>
      </w:tr>
      <w:tr w:rsidR="0036649B" w:rsidTr="0036649B">
        <w:trPr>
          <w:trHeight w:val="255"/>
          <w:tblHeader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center"/>
              <w:rPr>
                <w:rFonts w:ascii="Arial CE" w:hAnsi="Arial CE" w:cs="Arial CE"/>
                <w:i/>
                <w:iCs/>
                <w:sz w:val="20"/>
                <w:szCs w:val="20"/>
              </w:rPr>
            </w:pPr>
            <w:r>
              <w:rPr>
                <w:rFonts w:ascii="Arial CE" w:hAnsi="Arial CE" w:cs="Arial CE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36649B" w:rsidTr="0036649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Praha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827 470,7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822 990,9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4 479,8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-95 741,4</w:t>
            </w:r>
          </w:p>
        </w:tc>
      </w:tr>
      <w:tr w:rsidR="0036649B" w:rsidTr="0036649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Praha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548 257,8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416 647,1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131 610,7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114 833,1</w:t>
            </w:r>
          </w:p>
        </w:tc>
      </w:tr>
      <w:tr w:rsidR="0036649B" w:rsidTr="0036649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Praha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997 379,4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889 030,4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108 349,0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-123 501,6</w:t>
            </w:r>
          </w:p>
        </w:tc>
      </w:tr>
      <w:tr w:rsidR="0036649B" w:rsidTr="0036649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Praha 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924 760,6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857 994,6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66 766,0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-323 027,3</w:t>
            </w:r>
          </w:p>
        </w:tc>
      </w:tr>
      <w:tr w:rsidR="0036649B" w:rsidTr="0036649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Praha 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685 617,2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622 589,4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63 027,8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-109 851,3</w:t>
            </w:r>
          </w:p>
        </w:tc>
      </w:tr>
      <w:tr w:rsidR="0036649B" w:rsidTr="0036649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Praha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837 639,1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841 569,9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-3 930,8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-200 924,2</w:t>
            </w:r>
          </w:p>
        </w:tc>
      </w:tr>
      <w:tr w:rsidR="0036649B" w:rsidTr="0036649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Praha 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423 377,0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275 408,2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147 968,8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-100 787,6</w:t>
            </w:r>
          </w:p>
        </w:tc>
      </w:tr>
      <w:tr w:rsidR="0036649B" w:rsidTr="0036649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Praha 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1 090 517,6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1 071 996,2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18 521,4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-139 356,0</w:t>
            </w:r>
          </w:p>
        </w:tc>
      </w:tr>
      <w:tr w:rsidR="0036649B" w:rsidTr="0036649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Praha 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524 181,3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484 123,3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40 058,0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-80 677,7</w:t>
            </w:r>
          </w:p>
        </w:tc>
      </w:tr>
      <w:tr w:rsidR="0036649B" w:rsidTr="0036649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Praha 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1 214 110,3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972 912,4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241 197,9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114 750,9</w:t>
            </w:r>
          </w:p>
        </w:tc>
      </w:tr>
      <w:tr w:rsidR="0036649B" w:rsidTr="0036649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Praha 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426 424,8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484 772,1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-58 347,3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-130 395,2</w:t>
            </w:r>
          </w:p>
        </w:tc>
      </w:tr>
      <w:tr w:rsidR="0036649B" w:rsidTr="0036649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Praha 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472 707,2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452 164,8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20 542,4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-171 651,3</w:t>
            </w:r>
          </w:p>
        </w:tc>
      </w:tr>
      <w:tr w:rsidR="0036649B" w:rsidTr="0036649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Praha 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464 139,6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462 904,1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1 235,5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-22 885,9</w:t>
            </w:r>
          </w:p>
        </w:tc>
      </w:tr>
      <w:tr w:rsidR="0036649B" w:rsidTr="0036649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Praha 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351 429,5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309 603,0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41 826,5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12 973,4</w:t>
            </w:r>
          </w:p>
        </w:tc>
      </w:tr>
      <w:tr w:rsidR="0036649B" w:rsidTr="0036649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Praha 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246 702,6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232 577,1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14 125,5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-39 912,3</w:t>
            </w:r>
          </w:p>
        </w:tc>
      </w:tr>
      <w:tr w:rsidR="0036649B" w:rsidTr="0036649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Praha 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121 704,0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119 725,4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1 978,6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-226,2</w:t>
            </w:r>
          </w:p>
        </w:tc>
      </w:tr>
      <w:tr w:rsidR="0036649B" w:rsidTr="0036649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Praha 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198 356,2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249 706,8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-51 350,6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-169 410,9</w:t>
            </w:r>
          </w:p>
        </w:tc>
      </w:tr>
      <w:tr w:rsidR="0036649B" w:rsidTr="0036649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Praha 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181 391,4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167 186,8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14 204,6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-34 734,4</w:t>
            </w:r>
          </w:p>
        </w:tc>
      </w:tr>
      <w:tr w:rsidR="0036649B" w:rsidTr="0036649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Praha 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191 777,0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225 587,3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-33 810,3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-41 389,7</w:t>
            </w:r>
          </w:p>
        </w:tc>
      </w:tr>
      <w:tr w:rsidR="0036649B" w:rsidTr="0036649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Praha 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204 615,7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193 765,4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10 850,3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-61 784,1</w:t>
            </w:r>
          </w:p>
        </w:tc>
      </w:tr>
      <w:tr w:rsidR="0036649B" w:rsidTr="0036649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Praha 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124 580,0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81 761,8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42 818,2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1 656,4</w:t>
            </w:r>
          </w:p>
        </w:tc>
      </w:tr>
      <w:tr w:rsidR="0036649B" w:rsidTr="0036649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Praha 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131 928,5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113 654,9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18 273,6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-7 295,5</w:t>
            </w:r>
          </w:p>
        </w:tc>
      </w:tr>
      <w:tr w:rsidR="0036649B" w:rsidTr="0036649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Běchovice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28 259,5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26 873,5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1 386,0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185,4</w:t>
            </w:r>
          </w:p>
        </w:tc>
      </w:tr>
      <w:tr w:rsidR="0036649B" w:rsidTr="0036649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Benice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4 472,4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4 335,3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137,1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-626,3</w:t>
            </w:r>
          </w:p>
        </w:tc>
      </w:tr>
      <w:tr w:rsidR="0036649B" w:rsidTr="0036649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Březiněves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51 316,4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32 169,7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19 146,7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-10 000,0</w:t>
            </w:r>
          </w:p>
        </w:tc>
      </w:tr>
      <w:tr w:rsidR="0036649B" w:rsidTr="0036649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Čakovice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112 064,1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88 223,4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23 840,7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-15 138,5</w:t>
            </w:r>
          </w:p>
        </w:tc>
      </w:tr>
      <w:tr w:rsidR="0036649B" w:rsidTr="0036649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Ďáblice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56 547,3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42 885,5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13 661,8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-13 518,5</w:t>
            </w:r>
          </w:p>
        </w:tc>
      </w:tr>
      <w:tr w:rsidR="0036649B" w:rsidTr="0036649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Dolní Chabry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24 160,1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19 983,0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4 177,1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-1 572,0</w:t>
            </w:r>
          </w:p>
        </w:tc>
      </w:tr>
      <w:tr w:rsidR="0036649B" w:rsidTr="0036649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Dolní Měcholupy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40 070,4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12 876,6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27 193,8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-5 000,0</w:t>
            </w:r>
          </w:p>
        </w:tc>
      </w:tr>
      <w:tr w:rsidR="0036649B" w:rsidTr="0036649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Dolní Počernice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80 333,2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81 938,8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-1 605,6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-7 820,9</w:t>
            </w:r>
          </w:p>
        </w:tc>
      </w:tr>
      <w:tr w:rsidR="0036649B" w:rsidTr="0036649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Dubeč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24 862,2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21 201,0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3 661,2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-2 200,0</w:t>
            </w:r>
          </w:p>
        </w:tc>
      </w:tr>
      <w:tr w:rsidR="0036649B" w:rsidTr="0036649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Klánovice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34 315,1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28 546,2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5 768,9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-3 264,7</w:t>
            </w:r>
          </w:p>
        </w:tc>
      </w:tr>
      <w:tr w:rsidR="0036649B" w:rsidTr="0036649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Koloděje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19 180,2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15 802,9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3 377,3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-1 144,1</w:t>
            </w:r>
          </w:p>
        </w:tc>
      </w:tr>
      <w:tr w:rsidR="0036649B" w:rsidTr="0036649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Kolovraty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32 950,8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32 553,0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397,8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37,3</w:t>
            </w:r>
          </w:p>
        </w:tc>
      </w:tr>
      <w:tr w:rsidR="0036649B" w:rsidTr="0036649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Královice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2 554,6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2 839,1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-284,5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-916,7</w:t>
            </w:r>
          </w:p>
        </w:tc>
      </w:tr>
      <w:tr w:rsidR="0036649B" w:rsidTr="0036649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Křeslice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5 626,4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9 183,5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-3 557,1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-4 797,5</w:t>
            </w:r>
          </w:p>
        </w:tc>
      </w:tr>
      <w:tr w:rsidR="0036649B" w:rsidTr="0036649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Kunratice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52 824,5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63 283,9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-10 459,4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-20 024,5</w:t>
            </w:r>
          </w:p>
        </w:tc>
      </w:tr>
      <w:tr w:rsidR="0036649B" w:rsidTr="0036649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Libuš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56 808,4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52 880,4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3 928,0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-6 276,2</w:t>
            </w:r>
          </w:p>
        </w:tc>
      </w:tr>
      <w:tr w:rsidR="0036649B" w:rsidTr="0036649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Lipence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14 776,6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12 455,7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2 320,9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-717,7</w:t>
            </w:r>
          </w:p>
        </w:tc>
      </w:tr>
      <w:tr w:rsidR="0036649B" w:rsidTr="0036649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Lochkov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6 300,1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5 979,0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321,1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0,0</w:t>
            </w:r>
          </w:p>
        </w:tc>
      </w:tr>
      <w:tr w:rsidR="0036649B" w:rsidTr="0036649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Lysolaje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19 408,8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15 082,0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4 326,8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-189,1</w:t>
            </w:r>
          </w:p>
        </w:tc>
      </w:tr>
      <w:tr w:rsidR="0036649B" w:rsidTr="0036649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Nebušice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18 454,4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18 780,8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-326,4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-13 433,4</w:t>
            </w:r>
          </w:p>
        </w:tc>
      </w:tr>
      <w:tr w:rsidR="0036649B" w:rsidTr="0036649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Nedvězí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4 105,3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4 201,8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-96,5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-594,3</w:t>
            </w:r>
          </w:p>
        </w:tc>
      </w:tr>
      <w:tr w:rsidR="0036649B" w:rsidTr="0036649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Petrovice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63 100,2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62 609,2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491,0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-6 461,8</w:t>
            </w:r>
          </w:p>
        </w:tc>
      </w:tr>
      <w:tr w:rsidR="0036649B" w:rsidTr="0036649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Přední Kopanina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11 497,5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8 533,5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2 964,0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-729,0</w:t>
            </w:r>
          </w:p>
        </w:tc>
      </w:tr>
      <w:tr w:rsidR="0036649B" w:rsidTr="0036649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Řeporyje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24 201,7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29 782,3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-5 580,6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-10 203,1</w:t>
            </w:r>
          </w:p>
        </w:tc>
      </w:tr>
      <w:tr w:rsidR="0036649B" w:rsidTr="0036649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Satalice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21 726,4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21 779,3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-52,9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-348,6</w:t>
            </w:r>
          </w:p>
        </w:tc>
      </w:tr>
      <w:tr w:rsidR="0036649B" w:rsidTr="0036649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Slivenec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53 176,3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38 541,0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14 635,3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-3 062,2</w:t>
            </w:r>
          </w:p>
        </w:tc>
      </w:tr>
      <w:tr w:rsidR="0036649B" w:rsidTr="0036649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Suchdol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48 445,0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46 053,7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2 391,3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-4 939,3</w:t>
            </w:r>
          </w:p>
        </w:tc>
      </w:tr>
      <w:tr w:rsidR="0036649B" w:rsidTr="0036649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Šeberov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22 735,1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10 681,4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12 053,7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-2 161,5</w:t>
            </w:r>
          </w:p>
        </w:tc>
      </w:tr>
      <w:tr w:rsidR="0036649B" w:rsidTr="0036649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Štěrboholy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21 595,4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17 557,1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4 038,3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-66,8</w:t>
            </w:r>
          </w:p>
        </w:tc>
      </w:tr>
      <w:tr w:rsidR="0036649B" w:rsidTr="0036649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Troja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12 317,5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25 350,2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-13 032,7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-16 611,8</w:t>
            </w:r>
          </w:p>
        </w:tc>
      </w:tr>
      <w:tr w:rsidR="0036649B" w:rsidTr="0036649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Újezd u Průhonic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45 899,2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18 083,6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27 815,6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-2 501,1</w:t>
            </w:r>
          </w:p>
        </w:tc>
      </w:tr>
      <w:tr w:rsidR="0036649B" w:rsidTr="0036649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Velká Chuchle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34 150,2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18 101,2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16 049,0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-5 890,4</w:t>
            </w:r>
          </w:p>
        </w:tc>
      </w:tr>
      <w:tr w:rsidR="0036649B" w:rsidTr="0036649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Vinoř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37 213,3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38 694,6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-1 481,3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-4 451,2</w:t>
            </w:r>
          </w:p>
        </w:tc>
      </w:tr>
      <w:tr w:rsidR="0036649B" w:rsidTr="0036649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Zbraslav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93 851,2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80 880,7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12 970,5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-7 398,1</w:t>
            </w:r>
          </w:p>
        </w:tc>
      </w:tr>
      <w:tr w:rsidR="0036649B" w:rsidTr="0036649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Zličín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44 487,0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29 992,2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14 494,8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417,7</w:t>
            </w:r>
          </w:p>
        </w:tc>
      </w:tr>
      <w:tr w:rsidR="0036649B" w:rsidTr="0036649B">
        <w:trPr>
          <w:trHeight w:val="2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36649B" w:rsidTr="0036649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Celkem MČ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12 412 854,3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11 387 387,0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1 025 467,3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36649B" w:rsidRDefault="0036649B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-1 780 757,7</w:t>
            </w:r>
          </w:p>
        </w:tc>
      </w:tr>
      <w:tr w:rsidR="0036649B" w:rsidTr="0036649B">
        <w:trPr>
          <w:trHeight w:val="15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36649B" w:rsidRDefault="0036649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</w:tbl>
    <w:p w:rsidR="00803114" w:rsidRDefault="00803114"/>
    <w:p w:rsidR="00803114" w:rsidRDefault="00803114"/>
    <w:p w:rsidR="00803114" w:rsidRDefault="00803114"/>
    <w:p w:rsidR="007A683D" w:rsidRDefault="00635A83" w:rsidP="007A683D">
      <w:pPr>
        <w:jc w:val="both"/>
      </w:pPr>
      <w:r w:rsidRPr="00635A83">
        <w:rPr>
          <w:b/>
        </w:rPr>
        <w:t>1.3.</w:t>
      </w:r>
      <w:r w:rsidRPr="00635A83">
        <w:rPr>
          <w:b/>
          <w:u w:val="single"/>
        </w:rPr>
        <w:t xml:space="preserve"> </w:t>
      </w:r>
      <w:r w:rsidR="00803114" w:rsidRPr="00635A83">
        <w:rPr>
          <w:b/>
          <w:u w:val="single"/>
        </w:rPr>
        <w:t>Celkový přebytek hospodaření</w:t>
      </w:r>
      <w:r w:rsidR="00803114" w:rsidRPr="007C4BBD">
        <w:t xml:space="preserve"> za městské části hl.</w:t>
      </w:r>
      <w:r w:rsidR="00CE7CC7">
        <w:t> </w:t>
      </w:r>
      <w:r w:rsidR="00803114" w:rsidRPr="007C4BBD">
        <w:t>m.</w:t>
      </w:r>
      <w:r w:rsidR="00CE7CC7">
        <w:t> </w:t>
      </w:r>
      <w:r w:rsidR="00AD7794">
        <w:t>Prahy vykázaný k 31</w:t>
      </w:r>
      <w:r w:rsidR="00803114" w:rsidRPr="007C4BBD">
        <w:t>.</w:t>
      </w:r>
      <w:r w:rsidR="00CE7CC7">
        <w:t> </w:t>
      </w:r>
      <w:r w:rsidR="00AD7794">
        <w:t>12</w:t>
      </w:r>
      <w:r w:rsidR="00803114" w:rsidRPr="007C4BBD">
        <w:t>.</w:t>
      </w:r>
      <w:r w:rsidR="00CE7CC7">
        <w:t> </w:t>
      </w:r>
      <w:r w:rsidR="00803114" w:rsidRPr="007C4BBD">
        <w:t>20</w:t>
      </w:r>
      <w:r w:rsidR="00667737" w:rsidRPr="007C4BBD">
        <w:t>1</w:t>
      </w:r>
      <w:r w:rsidR="00AD5060">
        <w:t>5</w:t>
      </w:r>
      <w:r w:rsidR="00803114" w:rsidRPr="007C4BBD">
        <w:t xml:space="preserve"> ve výši </w:t>
      </w:r>
      <w:r w:rsidR="00AD5060">
        <w:t>1</w:t>
      </w:r>
      <w:r w:rsidR="00AD7794">
        <w:t> 025 467,3</w:t>
      </w:r>
      <w:r w:rsidR="0070595B">
        <w:t xml:space="preserve"> </w:t>
      </w:r>
      <w:r w:rsidR="00803114" w:rsidRPr="00AB2650">
        <w:t>tis.</w:t>
      </w:r>
      <w:r w:rsidR="00732F8D" w:rsidRPr="00AB2650">
        <w:t> </w:t>
      </w:r>
      <w:r w:rsidR="0036649B">
        <w:t>Kč</w:t>
      </w:r>
      <w:r w:rsidR="00803114" w:rsidRPr="00AB2650">
        <w:t xml:space="preserve"> </w:t>
      </w:r>
      <w:r w:rsidR="00803114" w:rsidRPr="007F15EA">
        <w:t>je saldem přebytků</w:t>
      </w:r>
      <w:r w:rsidR="00732F8D" w:rsidRPr="007F15EA">
        <w:t xml:space="preserve"> hospodaření</w:t>
      </w:r>
      <w:r w:rsidR="00803114" w:rsidRPr="007F15EA">
        <w:t xml:space="preserve"> </w:t>
      </w:r>
      <w:r w:rsidR="00AD7794" w:rsidRPr="00AD7794">
        <w:t>4</w:t>
      </w:r>
      <w:r w:rsidR="000842FF">
        <w:t>3</w:t>
      </w:r>
      <w:r w:rsidR="00803114" w:rsidRPr="00AD7794">
        <w:t xml:space="preserve"> </w:t>
      </w:r>
      <w:r w:rsidR="00803114" w:rsidRPr="007F15EA">
        <w:t xml:space="preserve">městských částí v souhrnném objemu </w:t>
      </w:r>
      <w:r w:rsidR="0030708B">
        <w:t>1</w:t>
      </w:r>
      <w:r w:rsidR="00AD7794">
        <w:t> 209 383,3</w:t>
      </w:r>
      <w:r w:rsidR="00B372AF" w:rsidRPr="007F15EA">
        <w:t xml:space="preserve"> </w:t>
      </w:r>
      <w:r w:rsidR="00803114" w:rsidRPr="007F15EA">
        <w:t>tis.</w:t>
      </w:r>
      <w:r w:rsidR="00732F8D" w:rsidRPr="007F15EA">
        <w:t> </w:t>
      </w:r>
      <w:r w:rsidR="00803114" w:rsidRPr="007F15EA">
        <w:t xml:space="preserve">Kč a </w:t>
      </w:r>
      <w:r w:rsidR="00732F8D" w:rsidRPr="007F15EA">
        <w:t>záporných sald hospodaření u</w:t>
      </w:r>
      <w:r w:rsidR="00803114" w:rsidRPr="007F15EA">
        <w:t xml:space="preserve"> </w:t>
      </w:r>
      <w:r w:rsidR="00AD7794" w:rsidRPr="00AD7794">
        <w:t>14</w:t>
      </w:r>
      <w:r w:rsidR="00803114" w:rsidRPr="007F15EA">
        <w:t xml:space="preserve"> městských částí v objemu </w:t>
      </w:r>
      <w:r w:rsidR="00AD7794">
        <w:t>183 916,0</w:t>
      </w:r>
      <w:r w:rsidR="00803114" w:rsidRPr="00A83C3F">
        <w:t> tis.</w:t>
      </w:r>
      <w:r w:rsidR="00732F8D" w:rsidRPr="00A83C3F">
        <w:t> </w:t>
      </w:r>
      <w:r w:rsidR="00803114" w:rsidRPr="00A83C3F">
        <w:t>Kč</w:t>
      </w:r>
      <w:r w:rsidR="00803114" w:rsidRPr="006912C6">
        <w:t xml:space="preserve">. </w:t>
      </w:r>
      <w:r w:rsidR="00246EFC" w:rsidRPr="006912C6">
        <w:t>Oproti celoročn</w:t>
      </w:r>
      <w:r w:rsidR="006912C6" w:rsidRPr="006912C6">
        <w:t xml:space="preserve">ímu upravenému rozpočtu </w:t>
      </w:r>
      <w:r w:rsidR="00DA69F5">
        <w:t>ne</w:t>
      </w:r>
      <w:r w:rsidR="006912C6" w:rsidRPr="006912C6">
        <w:t>vykazuje</w:t>
      </w:r>
      <w:r w:rsidR="00E713A4" w:rsidRPr="006912C6">
        <w:t xml:space="preserve"> </w:t>
      </w:r>
      <w:r w:rsidR="00246EFC" w:rsidRPr="006912C6">
        <w:t xml:space="preserve">horší </w:t>
      </w:r>
      <w:r w:rsidR="00F74874" w:rsidRPr="006912C6">
        <w:t>hospodářský</w:t>
      </w:r>
      <w:r w:rsidR="006912C6" w:rsidRPr="006912C6">
        <w:t xml:space="preserve"> </w:t>
      </w:r>
      <w:r w:rsidR="00DA69F5">
        <w:t>výsledek žádná městská část</w:t>
      </w:r>
      <w:r w:rsidR="0030708B">
        <w:t>.</w:t>
      </w:r>
    </w:p>
    <w:p w:rsidR="00641EC1" w:rsidRDefault="00641EC1"/>
    <w:p w:rsidR="00DA69F5" w:rsidRDefault="00DA69F5">
      <w:pPr>
        <w:rPr>
          <w:b/>
          <w:bCs/>
        </w:rPr>
      </w:pPr>
    </w:p>
    <w:p w:rsidR="00872663" w:rsidRPr="000D7311" w:rsidRDefault="00872663">
      <w:pPr>
        <w:ind w:left="360" w:hanging="360"/>
        <w:jc w:val="both"/>
        <w:rPr>
          <w:color w:val="3366FF"/>
        </w:rPr>
      </w:pPr>
    </w:p>
    <w:sectPr w:rsidR="00872663" w:rsidRPr="000D731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899" w:rsidRDefault="00E22899" w:rsidP="00C17D71">
      <w:r>
        <w:separator/>
      </w:r>
    </w:p>
  </w:endnote>
  <w:endnote w:type="continuationSeparator" w:id="0">
    <w:p w:rsidR="00E22899" w:rsidRDefault="00E22899" w:rsidP="00C17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7610243"/>
      <w:docPartObj>
        <w:docPartGallery w:val="Page Numbers (Bottom of Page)"/>
        <w:docPartUnique/>
      </w:docPartObj>
    </w:sdtPr>
    <w:sdtEndPr/>
    <w:sdtContent>
      <w:p w:rsidR="00C17D71" w:rsidRDefault="00C17D7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449">
          <w:rPr>
            <w:noProof/>
          </w:rPr>
          <w:t>1</w:t>
        </w:r>
        <w:r>
          <w:fldChar w:fldCharType="end"/>
        </w:r>
      </w:p>
    </w:sdtContent>
  </w:sdt>
  <w:p w:rsidR="00C17D71" w:rsidRDefault="00C17D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899" w:rsidRDefault="00E22899" w:rsidP="00C17D71">
      <w:r>
        <w:separator/>
      </w:r>
    </w:p>
  </w:footnote>
  <w:footnote w:type="continuationSeparator" w:id="0">
    <w:p w:rsidR="00E22899" w:rsidRDefault="00E22899" w:rsidP="00C17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5251F"/>
    <w:multiLevelType w:val="hybridMultilevel"/>
    <w:tmpl w:val="7B2CBA08"/>
    <w:lvl w:ilvl="0" w:tplc="14321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6786E"/>
    <w:multiLevelType w:val="hybridMultilevel"/>
    <w:tmpl w:val="4CBAE9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B147AF"/>
    <w:multiLevelType w:val="hybridMultilevel"/>
    <w:tmpl w:val="F38E2DDA"/>
    <w:lvl w:ilvl="0" w:tplc="14321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67322"/>
    <w:multiLevelType w:val="hybridMultilevel"/>
    <w:tmpl w:val="DE68BD7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37445E67"/>
    <w:multiLevelType w:val="hybridMultilevel"/>
    <w:tmpl w:val="CD5CDD6A"/>
    <w:lvl w:ilvl="0" w:tplc="369EC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EF4954"/>
    <w:multiLevelType w:val="hybridMultilevel"/>
    <w:tmpl w:val="3604C7F2"/>
    <w:lvl w:ilvl="0" w:tplc="F740FCAE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5F22553F"/>
    <w:multiLevelType w:val="hybridMultilevel"/>
    <w:tmpl w:val="183E55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86AD6"/>
    <w:multiLevelType w:val="hybridMultilevel"/>
    <w:tmpl w:val="9E1AFAC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B750F5F"/>
    <w:multiLevelType w:val="hybridMultilevel"/>
    <w:tmpl w:val="AADE927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6D8"/>
    <w:rsid w:val="00011D3D"/>
    <w:rsid w:val="0001249C"/>
    <w:rsid w:val="00032800"/>
    <w:rsid w:val="00032EDC"/>
    <w:rsid w:val="00034401"/>
    <w:rsid w:val="0003575A"/>
    <w:rsid w:val="00037CE8"/>
    <w:rsid w:val="000403A9"/>
    <w:rsid w:val="00041649"/>
    <w:rsid w:val="0004341A"/>
    <w:rsid w:val="0004425C"/>
    <w:rsid w:val="000447D5"/>
    <w:rsid w:val="0005095B"/>
    <w:rsid w:val="00055521"/>
    <w:rsid w:val="000602E8"/>
    <w:rsid w:val="00060D9A"/>
    <w:rsid w:val="00061F18"/>
    <w:rsid w:val="00062611"/>
    <w:rsid w:val="00066080"/>
    <w:rsid w:val="00070501"/>
    <w:rsid w:val="00070585"/>
    <w:rsid w:val="00082914"/>
    <w:rsid w:val="000842FF"/>
    <w:rsid w:val="00086A7C"/>
    <w:rsid w:val="00092F72"/>
    <w:rsid w:val="00096338"/>
    <w:rsid w:val="00096966"/>
    <w:rsid w:val="00097F89"/>
    <w:rsid w:val="000A17E3"/>
    <w:rsid w:val="000A3EAE"/>
    <w:rsid w:val="000A424C"/>
    <w:rsid w:val="000A433E"/>
    <w:rsid w:val="000A7B06"/>
    <w:rsid w:val="000A7D7B"/>
    <w:rsid w:val="000B2EC1"/>
    <w:rsid w:val="000B42BA"/>
    <w:rsid w:val="000B697D"/>
    <w:rsid w:val="000C4D0D"/>
    <w:rsid w:val="000D0E19"/>
    <w:rsid w:val="000D4FD9"/>
    <w:rsid w:val="000D7311"/>
    <w:rsid w:val="000E1BE2"/>
    <w:rsid w:val="000E58D7"/>
    <w:rsid w:val="000E74D5"/>
    <w:rsid w:val="000F47D1"/>
    <w:rsid w:val="0010339D"/>
    <w:rsid w:val="00111D0F"/>
    <w:rsid w:val="00113991"/>
    <w:rsid w:val="0011442B"/>
    <w:rsid w:val="00114D39"/>
    <w:rsid w:val="001205CF"/>
    <w:rsid w:val="00121CE4"/>
    <w:rsid w:val="0012287E"/>
    <w:rsid w:val="00122DAD"/>
    <w:rsid w:val="001315A0"/>
    <w:rsid w:val="00135831"/>
    <w:rsid w:val="00135B2A"/>
    <w:rsid w:val="001412C8"/>
    <w:rsid w:val="00141B8A"/>
    <w:rsid w:val="00145133"/>
    <w:rsid w:val="00146C2B"/>
    <w:rsid w:val="00150AEF"/>
    <w:rsid w:val="00151289"/>
    <w:rsid w:val="00153AC1"/>
    <w:rsid w:val="00160D2E"/>
    <w:rsid w:val="00163344"/>
    <w:rsid w:val="0016347F"/>
    <w:rsid w:val="00164830"/>
    <w:rsid w:val="00165849"/>
    <w:rsid w:val="00172F50"/>
    <w:rsid w:val="00183696"/>
    <w:rsid w:val="0018626B"/>
    <w:rsid w:val="00186850"/>
    <w:rsid w:val="00192BC6"/>
    <w:rsid w:val="001B3AC0"/>
    <w:rsid w:val="001B5D5A"/>
    <w:rsid w:val="001C229F"/>
    <w:rsid w:val="001C2A91"/>
    <w:rsid w:val="001C525C"/>
    <w:rsid w:val="001C54F6"/>
    <w:rsid w:val="001D56E9"/>
    <w:rsid w:val="001E0B26"/>
    <w:rsid w:val="001E18DF"/>
    <w:rsid w:val="001E484B"/>
    <w:rsid w:val="001F3851"/>
    <w:rsid w:val="001F3C11"/>
    <w:rsid w:val="001F5B46"/>
    <w:rsid w:val="001F5CE2"/>
    <w:rsid w:val="0020250C"/>
    <w:rsid w:val="00202E52"/>
    <w:rsid w:val="00206E3A"/>
    <w:rsid w:val="002073F1"/>
    <w:rsid w:val="00210C2B"/>
    <w:rsid w:val="0021374D"/>
    <w:rsid w:val="00214766"/>
    <w:rsid w:val="002169A8"/>
    <w:rsid w:val="00217120"/>
    <w:rsid w:val="002201FD"/>
    <w:rsid w:val="002211A7"/>
    <w:rsid w:val="002213FB"/>
    <w:rsid w:val="00221F7B"/>
    <w:rsid w:val="002323AD"/>
    <w:rsid w:val="00233082"/>
    <w:rsid w:val="002404B8"/>
    <w:rsid w:val="00241020"/>
    <w:rsid w:val="00245AA3"/>
    <w:rsid w:val="002464AE"/>
    <w:rsid w:val="00246EFC"/>
    <w:rsid w:val="00247547"/>
    <w:rsid w:val="0025231B"/>
    <w:rsid w:val="00263316"/>
    <w:rsid w:val="0026557C"/>
    <w:rsid w:val="0027459B"/>
    <w:rsid w:val="00280B7E"/>
    <w:rsid w:val="0028514B"/>
    <w:rsid w:val="002873F1"/>
    <w:rsid w:val="00290116"/>
    <w:rsid w:val="00291876"/>
    <w:rsid w:val="00291E75"/>
    <w:rsid w:val="00292A45"/>
    <w:rsid w:val="00293EAB"/>
    <w:rsid w:val="00295651"/>
    <w:rsid w:val="00297101"/>
    <w:rsid w:val="002A5D6C"/>
    <w:rsid w:val="002B2367"/>
    <w:rsid w:val="002B34E1"/>
    <w:rsid w:val="002B4092"/>
    <w:rsid w:val="002B55F2"/>
    <w:rsid w:val="002B6132"/>
    <w:rsid w:val="002C0C6F"/>
    <w:rsid w:val="002C38BD"/>
    <w:rsid w:val="002C3DCC"/>
    <w:rsid w:val="002D2D75"/>
    <w:rsid w:val="002D66D8"/>
    <w:rsid w:val="002E3B51"/>
    <w:rsid w:val="002E6547"/>
    <w:rsid w:val="002E760E"/>
    <w:rsid w:val="002F058F"/>
    <w:rsid w:val="002F2E4B"/>
    <w:rsid w:val="002F478C"/>
    <w:rsid w:val="002F4A2C"/>
    <w:rsid w:val="0030036B"/>
    <w:rsid w:val="0030708B"/>
    <w:rsid w:val="0031150C"/>
    <w:rsid w:val="003143B9"/>
    <w:rsid w:val="003251FE"/>
    <w:rsid w:val="003266E3"/>
    <w:rsid w:val="003267F1"/>
    <w:rsid w:val="0033635A"/>
    <w:rsid w:val="003401FF"/>
    <w:rsid w:val="00345B83"/>
    <w:rsid w:val="003560AC"/>
    <w:rsid w:val="00356D56"/>
    <w:rsid w:val="003601F8"/>
    <w:rsid w:val="0036649B"/>
    <w:rsid w:val="00381B74"/>
    <w:rsid w:val="00386EF3"/>
    <w:rsid w:val="00391BB4"/>
    <w:rsid w:val="0039772C"/>
    <w:rsid w:val="003A5E1C"/>
    <w:rsid w:val="003B4CDF"/>
    <w:rsid w:val="003C1E2D"/>
    <w:rsid w:val="003C44FD"/>
    <w:rsid w:val="003C5336"/>
    <w:rsid w:val="003C7319"/>
    <w:rsid w:val="003D31D6"/>
    <w:rsid w:val="003D7F7D"/>
    <w:rsid w:val="003E51A1"/>
    <w:rsid w:val="003E6592"/>
    <w:rsid w:val="003F0B4F"/>
    <w:rsid w:val="003F2465"/>
    <w:rsid w:val="003F6183"/>
    <w:rsid w:val="003F752A"/>
    <w:rsid w:val="00401438"/>
    <w:rsid w:val="00405C38"/>
    <w:rsid w:val="004065E1"/>
    <w:rsid w:val="00406657"/>
    <w:rsid w:val="00410D28"/>
    <w:rsid w:val="004120DC"/>
    <w:rsid w:val="004172CC"/>
    <w:rsid w:val="00417AB5"/>
    <w:rsid w:val="00427E95"/>
    <w:rsid w:val="00432073"/>
    <w:rsid w:val="00432777"/>
    <w:rsid w:val="00432CD7"/>
    <w:rsid w:val="004347B3"/>
    <w:rsid w:val="00435C51"/>
    <w:rsid w:val="004370B2"/>
    <w:rsid w:val="0043744B"/>
    <w:rsid w:val="00437498"/>
    <w:rsid w:val="004417FF"/>
    <w:rsid w:val="004430CD"/>
    <w:rsid w:val="00443DFE"/>
    <w:rsid w:val="0046529A"/>
    <w:rsid w:val="00466417"/>
    <w:rsid w:val="004701A8"/>
    <w:rsid w:val="00471D86"/>
    <w:rsid w:val="004744B6"/>
    <w:rsid w:val="00474C20"/>
    <w:rsid w:val="00475993"/>
    <w:rsid w:val="004812BF"/>
    <w:rsid w:val="00481538"/>
    <w:rsid w:val="0048174E"/>
    <w:rsid w:val="004824A7"/>
    <w:rsid w:val="0049282A"/>
    <w:rsid w:val="0049291A"/>
    <w:rsid w:val="004946C2"/>
    <w:rsid w:val="004962AE"/>
    <w:rsid w:val="004972F9"/>
    <w:rsid w:val="004973B3"/>
    <w:rsid w:val="00497EBA"/>
    <w:rsid w:val="004A0476"/>
    <w:rsid w:val="004A20FD"/>
    <w:rsid w:val="004A35BE"/>
    <w:rsid w:val="004B0449"/>
    <w:rsid w:val="004B0EE2"/>
    <w:rsid w:val="004B4EF0"/>
    <w:rsid w:val="004C0657"/>
    <w:rsid w:val="004C10D3"/>
    <w:rsid w:val="004C34E7"/>
    <w:rsid w:val="004C402C"/>
    <w:rsid w:val="004D2CF4"/>
    <w:rsid w:val="004E11D8"/>
    <w:rsid w:val="004E257E"/>
    <w:rsid w:val="004E4900"/>
    <w:rsid w:val="004E6071"/>
    <w:rsid w:val="004E7C5F"/>
    <w:rsid w:val="004F264A"/>
    <w:rsid w:val="004F2EE9"/>
    <w:rsid w:val="004F322D"/>
    <w:rsid w:val="004F43CC"/>
    <w:rsid w:val="004F4D86"/>
    <w:rsid w:val="004F6054"/>
    <w:rsid w:val="00502C4A"/>
    <w:rsid w:val="0050579B"/>
    <w:rsid w:val="005104E8"/>
    <w:rsid w:val="00512BFE"/>
    <w:rsid w:val="005161C0"/>
    <w:rsid w:val="0051722C"/>
    <w:rsid w:val="00524260"/>
    <w:rsid w:val="005250DA"/>
    <w:rsid w:val="00525AEA"/>
    <w:rsid w:val="0053073A"/>
    <w:rsid w:val="0053130E"/>
    <w:rsid w:val="005315CE"/>
    <w:rsid w:val="00531C3D"/>
    <w:rsid w:val="00536C7D"/>
    <w:rsid w:val="00537B29"/>
    <w:rsid w:val="00545D85"/>
    <w:rsid w:val="0055049E"/>
    <w:rsid w:val="00550513"/>
    <w:rsid w:val="00552C55"/>
    <w:rsid w:val="005655F3"/>
    <w:rsid w:val="0056795C"/>
    <w:rsid w:val="00571ADD"/>
    <w:rsid w:val="0057376D"/>
    <w:rsid w:val="00577C38"/>
    <w:rsid w:val="00586128"/>
    <w:rsid w:val="00587429"/>
    <w:rsid w:val="00592306"/>
    <w:rsid w:val="00596123"/>
    <w:rsid w:val="005A3030"/>
    <w:rsid w:val="005A3612"/>
    <w:rsid w:val="005A4557"/>
    <w:rsid w:val="005A5AB8"/>
    <w:rsid w:val="005A70A5"/>
    <w:rsid w:val="005B5979"/>
    <w:rsid w:val="005B5B62"/>
    <w:rsid w:val="005B6537"/>
    <w:rsid w:val="005B6DC4"/>
    <w:rsid w:val="005C1BB7"/>
    <w:rsid w:val="005D1061"/>
    <w:rsid w:val="005D11F2"/>
    <w:rsid w:val="005D2062"/>
    <w:rsid w:val="005D35E0"/>
    <w:rsid w:val="005D6059"/>
    <w:rsid w:val="005E0B68"/>
    <w:rsid w:val="005E1800"/>
    <w:rsid w:val="005E340B"/>
    <w:rsid w:val="005E3835"/>
    <w:rsid w:val="005E40D1"/>
    <w:rsid w:val="005E7AC8"/>
    <w:rsid w:val="00600869"/>
    <w:rsid w:val="00602808"/>
    <w:rsid w:val="006038F6"/>
    <w:rsid w:val="006040DD"/>
    <w:rsid w:val="00607647"/>
    <w:rsid w:val="00607CFF"/>
    <w:rsid w:val="006127B9"/>
    <w:rsid w:val="006131FF"/>
    <w:rsid w:val="0061521E"/>
    <w:rsid w:val="006205CA"/>
    <w:rsid w:val="00625F2F"/>
    <w:rsid w:val="006275AF"/>
    <w:rsid w:val="00632DAA"/>
    <w:rsid w:val="00635A83"/>
    <w:rsid w:val="0063696F"/>
    <w:rsid w:val="00641EC1"/>
    <w:rsid w:val="00643C1B"/>
    <w:rsid w:val="006441C3"/>
    <w:rsid w:val="00646DC2"/>
    <w:rsid w:val="00653F7B"/>
    <w:rsid w:val="00656816"/>
    <w:rsid w:val="00661BD0"/>
    <w:rsid w:val="0066212F"/>
    <w:rsid w:val="00663D78"/>
    <w:rsid w:val="00663F3B"/>
    <w:rsid w:val="006642A9"/>
    <w:rsid w:val="00667737"/>
    <w:rsid w:val="00672CDD"/>
    <w:rsid w:val="006912C6"/>
    <w:rsid w:val="006A1417"/>
    <w:rsid w:val="006A27C2"/>
    <w:rsid w:val="006A6437"/>
    <w:rsid w:val="006B02A7"/>
    <w:rsid w:val="006B3247"/>
    <w:rsid w:val="006B3B08"/>
    <w:rsid w:val="006B49B2"/>
    <w:rsid w:val="006C24FC"/>
    <w:rsid w:val="006C427E"/>
    <w:rsid w:val="006C520B"/>
    <w:rsid w:val="006D69AF"/>
    <w:rsid w:val="006E005C"/>
    <w:rsid w:val="006E7E7A"/>
    <w:rsid w:val="006F1D39"/>
    <w:rsid w:val="006F59D2"/>
    <w:rsid w:val="006F771B"/>
    <w:rsid w:val="00700A25"/>
    <w:rsid w:val="00702679"/>
    <w:rsid w:val="00702A4D"/>
    <w:rsid w:val="00702C78"/>
    <w:rsid w:val="00703889"/>
    <w:rsid w:val="0070595B"/>
    <w:rsid w:val="00706D24"/>
    <w:rsid w:val="00713ED6"/>
    <w:rsid w:val="007163E7"/>
    <w:rsid w:val="00721580"/>
    <w:rsid w:val="0072478B"/>
    <w:rsid w:val="00725526"/>
    <w:rsid w:val="00725F45"/>
    <w:rsid w:val="007304DC"/>
    <w:rsid w:val="00732D86"/>
    <w:rsid w:val="00732F8D"/>
    <w:rsid w:val="00733E93"/>
    <w:rsid w:val="00737B4D"/>
    <w:rsid w:val="00743244"/>
    <w:rsid w:val="0074577D"/>
    <w:rsid w:val="00751FD6"/>
    <w:rsid w:val="0076049A"/>
    <w:rsid w:val="0076584A"/>
    <w:rsid w:val="00772CAA"/>
    <w:rsid w:val="00775439"/>
    <w:rsid w:val="007756A0"/>
    <w:rsid w:val="00775F61"/>
    <w:rsid w:val="007855D8"/>
    <w:rsid w:val="00792C34"/>
    <w:rsid w:val="007972A9"/>
    <w:rsid w:val="007977D9"/>
    <w:rsid w:val="007A2B9A"/>
    <w:rsid w:val="007A683D"/>
    <w:rsid w:val="007B0059"/>
    <w:rsid w:val="007C2F7E"/>
    <w:rsid w:val="007C4088"/>
    <w:rsid w:val="007C477C"/>
    <w:rsid w:val="007C4BBD"/>
    <w:rsid w:val="007C6544"/>
    <w:rsid w:val="007C6EA8"/>
    <w:rsid w:val="007D08A1"/>
    <w:rsid w:val="007F08E9"/>
    <w:rsid w:val="007F15EA"/>
    <w:rsid w:val="007F2D1B"/>
    <w:rsid w:val="00801A4C"/>
    <w:rsid w:val="00803114"/>
    <w:rsid w:val="008139FD"/>
    <w:rsid w:val="008163C6"/>
    <w:rsid w:val="00822552"/>
    <w:rsid w:val="00823BFF"/>
    <w:rsid w:val="00826D84"/>
    <w:rsid w:val="00832D5B"/>
    <w:rsid w:val="008375BE"/>
    <w:rsid w:val="00844212"/>
    <w:rsid w:val="00851C17"/>
    <w:rsid w:val="00854121"/>
    <w:rsid w:val="00857835"/>
    <w:rsid w:val="00864362"/>
    <w:rsid w:val="00872663"/>
    <w:rsid w:val="0087436F"/>
    <w:rsid w:val="0087548E"/>
    <w:rsid w:val="00880939"/>
    <w:rsid w:val="00886044"/>
    <w:rsid w:val="00892AB4"/>
    <w:rsid w:val="008959F6"/>
    <w:rsid w:val="00896630"/>
    <w:rsid w:val="00896BAA"/>
    <w:rsid w:val="008A296E"/>
    <w:rsid w:val="008A4A41"/>
    <w:rsid w:val="008A68BC"/>
    <w:rsid w:val="008B01EF"/>
    <w:rsid w:val="008B14FE"/>
    <w:rsid w:val="008B7305"/>
    <w:rsid w:val="008C0E0B"/>
    <w:rsid w:val="008C370C"/>
    <w:rsid w:val="008D0629"/>
    <w:rsid w:val="008E6202"/>
    <w:rsid w:val="008E737C"/>
    <w:rsid w:val="008F164C"/>
    <w:rsid w:val="008F568C"/>
    <w:rsid w:val="00921A2B"/>
    <w:rsid w:val="00924A3F"/>
    <w:rsid w:val="009308B2"/>
    <w:rsid w:val="00931CC9"/>
    <w:rsid w:val="009322F4"/>
    <w:rsid w:val="00937B79"/>
    <w:rsid w:val="00944B2B"/>
    <w:rsid w:val="00951416"/>
    <w:rsid w:val="009549F5"/>
    <w:rsid w:val="00955857"/>
    <w:rsid w:val="00956255"/>
    <w:rsid w:val="00963853"/>
    <w:rsid w:val="00964EB4"/>
    <w:rsid w:val="00971717"/>
    <w:rsid w:val="00971CF8"/>
    <w:rsid w:val="009724DB"/>
    <w:rsid w:val="00972CDE"/>
    <w:rsid w:val="00974A45"/>
    <w:rsid w:val="00975C4C"/>
    <w:rsid w:val="009900B9"/>
    <w:rsid w:val="009A0222"/>
    <w:rsid w:val="009A2E3C"/>
    <w:rsid w:val="009A4F66"/>
    <w:rsid w:val="009A50A0"/>
    <w:rsid w:val="009A7F9C"/>
    <w:rsid w:val="009B0DAD"/>
    <w:rsid w:val="009B50CF"/>
    <w:rsid w:val="009B5B42"/>
    <w:rsid w:val="009B63AC"/>
    <w:rsid w:val="009B6825"/>
    <w:rsid w:val="009C0188"/>
    <w:rsid w:val="009D6233"/>
    <w:rsid w:val="009D64AA"/>
    <w:rsid w:val="009D7250"/>
    <w:rsid w:val="009E1C8D"/>
    <w:rsid w:val="009E7BC5"/>
    <w:rsid w:val="009F26D5"/>
    <w:rsid w:val="009F5FB5"/>
    <w:rsid w:val="00A02751"/>
    <w:rsid w:val="00A11180"/>
    <w:rsid w:val="00A163CF"/>
    <w:rsid w:val="00A255FF"/>
    <w:rsid w:val="00A31A2F"/>
    <w:rsid w:val="00A335D2"/>
    <w:rsid w:val="00A3552E"/>
    <w:rsid w:val="00A426D6"/>
    <w:rsid w:val="00A437D4"/>
    <w:rsid w:val="00A51443"/>
    <w:rsid w:val="00A54943"/>
    <w:rsid w:val="00A54EAB"/>
    <w:rsid w:val="00A5706D"/>
    <w:rsid w:val="00A61EE4"/>
    <w:rsid w:val="00A73DD4"/>
    <w:rsid w:val="00A80B32"/>
    <w:rsid w:val="00A835B5"/>
    <w:rsid w:val="00A83C3F"/>
    <w:rsid w:val="00A97F96"/>
    <w:rsid w:val="00AA2C07"/>
    <w:rsid w:val="00AA62DA"/>
    <w:rsid w:val="00AB2650"/>
    <w:rsid w:val="00AB53BE"/>
    <w:rsid w:val="00AC0737"/>
    <w:rsid w:val="00AC0D97"/>
    <w:rsid w:val="00AC3E78"/>
    <w:rsid w:val="00AC41FF"/>
    <w:rsid w:val="00AC5595"/>
    <w:rsid w:val="00AD1764"/>
    <w:rsid w:val="00AD303A"/>
    <w:rsid w:val="00AD4186"/>
    <w:rsid w:val="00AD5060"/>
    <w:rsid w:val="00AD7794"/>
    <w:rsid w:val="00AE1214"/>
    <w:rsid w:val="00AE34BA"/>
    <w:rsid w:val="00AE66D4"/>
    <w:rsid w:val="00AF6FA7"/>
    <w:rsid w:val="00B10673"/>
    <w:rsid w:val="00B11C3E"/>
    <w:rsid w:val="00B152DF"/>
    <w:rsid w:val="00B16271"/>
    <w:rsid w:val="00B23FB8"/>
    <w:rsid w:val="00B372AF"/>
    <w:rsid w:val="00B42E0B"/>
    <w:rsid w:val="00B44717"/>
    <w:rsid w:val="00B464EE"/>
    <w:rsid w:val="00B524C0"/>
    <w:rsid w:val="00B533CE"/>
    <w:rsid w:val="00B53406"/>
    <w:rsid w:val="00B53BE6"/>
    <w:rsid w:val="00B5723B"/>
    <w:rsid w:val="00B62DCC"/>
    <w:rsid w:val="00B70456"/>
    <w:rsid w:val="00B725F8"/>
    <w:rsid w:val="00B81C36"/>
    <w:rsid w:val="00B8756A"/>
    <w:rsid w:val="00B959F0"/>
    <w:rsid w:val="00BA2AEF"/>
    <w:rsid w:val="00BA6300"/>
    <w:rsid w:val="00BA6469"/>
    <w:rsid w:val="00BA673D"/>
    <w:rsid w:val="00BC1DDF"/>
    <w:rsid w:val="00BC7C59"/>
    <w:rsid w:val="00BD2861"/>
    <w:rsid w:val="00BD2EC0"/>
    <w:rsid w:val="00BD4DBF"/>
    <w:rsid w:val="00BD7157"/>
    <w:rsid w:val="00BE2511"/>
    <w:rsid w:val="00BE54FE"/>
    <w:rsid w:val="00BE653E"/>
    <w:rsid w:val="00BF045F"/>
    <w:rsid w:val="00BF1DD6"/>
    <w:rsid w:val="00BF34F4"/>
    <w:rsid w:val="00BF4AF4"/>
    <w:rsid w:val="00BF6DBB"/>
    <w:rsid w:val="00C01479"/>
    <w:rsid w:val="00C016B8"/>
    <w:rsid w:val="00C02833"/>
    <w:rsid w:val="00C17D71"/>
    <w:rsid w:val="00C24BE7"/>
    <w:rsid w:val="00C255CC"/>
    <w:rsid w:val="00C309D6"/>
    <w:rsid w:val="00C325F0"/>
    <w:rsid w:val="00C37147"/>
    <w:rsid w:val="00C41D2E"/>
    <w:rsid w:val="00C57912"/>
    <w:rsid w:val="00C606C3"/>
    <w:rsid w:val="00C611D7"/>
    <w:rsid w:val="00C61310"/>
    <w:rsid w:val="00C658A3"/>
    <w:rsid w:val="00C72ED2"/>
    <w:rsid w:val="00C75873"/>
    <w:rsid w:val="00C770C6"/>
    <w:rsid w:val="00C819F2"/>
    <w:rsid w:val="00C9026F"/>
    <w:rsid w:val="00C91D35"/>
    <w:rsid w:val="00C93B39"/>
    <w:rsid w:val="00C948FD"/>
    <w:rsid w:val="00C973FC"/>
    <w:rsid w:val="00CA281D"/>
    <w:rsid w:val="00CC0031"/>
    <w:rsid w:val="00CC2C17"/>
    <w:rsid w:val="00CC4246"/>
    <w:rsid w:val="00CC6BA6"/>
    <w:rsid w:val="00CC76F4"/>
    <w:rsid w:val="00CD3804"/>
    <w:rsid w:val="00CD42B5"/>
    <w:rsid w:val="00CD42D5"/>
    <w:rsid w:val="00CD5AD5"/>
    <w:rsid w:val="00CD6AF8"/>
    <w:rsid w:val="00CE48E3"/>
    <w:rsid w:val="00CE4EB0"/>
    <w:rsid w:val="00CE6AF7"/>
    <w:rsid w:val="00CE7CC7"/>
    <w:rsid w:val="00CF1CD6"/>
    <w:rsid w:val="00CF28C0"/>
    <w:rsid w:val="00CF57FD"/>
    <w:rsid w:val="00D0198E"/>
    <w:rsid w:val="00D02864"/>
    <w:rsid w:val="00D21267"/>
    <w:rsid w:val="00D21FC5"/>
    <w:rsid w:val="00D23D05"/>
    <w:rsid w:val="00D25CF2"/>
    <w:rsid w:val="00D26ECE"/>
    <w:rsid w:val="00D279DF"/>
    <w:rsid w:val="00D27FEF"/>
    <w:rsid w:val="00D33C2A"/>
    <w:rsid w:val="00D344B7"/>
    <w:rsid w:val="00D5291D"/>
    <w:rsid w:val="00D5459D"/>
    <w:rsid w:val="00D54F5D"/>
    <w:rsid w:val="00D57F57"/>
    <w:rsid w:val="00D66DBF"/>
    <w:rsid w:val="00D7160C"/>
    <w:rsid w:val="00D71E76"/>
    <w:rsid w:val="00D72A9E"/>
    <w:rsid w:val="00D72EAA"/>
    <w:rsid w:val="00D73641"/>
    <w:rsid w:val="00D73C74"/>
    <w:rsid w:val="00D75162"/>
    <w:rsid w:val="00D76490"/>
    <w:rsid w:val="00D77475"/>
    <w:rsid w:val="00D80ACA"/>
    <w:rsid w:val="00D817C6"/>
    <w:rsid w:val="00D82B88"/>
    <w:rsid w:val="00D8516F"/>
    <w:rsid w:val="00D85352"/>
    <w:rsid w:val="00D85932"/>
    <w:rsid w:val="00D85BB1"/>
    <w:rsid w:val="00D86BD3"/>
    <w:rsid w:val="00DA2BB0"/>
    <w:rsid w:val="00DA69F5"/>
    <w:rsid w:val="00DB5ED2"/>
    <w:rsid w:val="00DC10AC"/>
    <w:rsid w:val="00DC29AE"/>
    <w:rsid w:val="00DC31C7"/>
    <w:rsid w:val="00DD2F7F"/>
    <w:rsid w:val="00DD3B91"/>
    <w:rsid w:val="00DD609B"/>
    <w:rsid w:val="00DD6ED4"/>
    <w:rsid w:val="00DE1DD4"/>
    <w:rsid w:val="00DE3A47"/>
    <w:rsid w:val="00DE7321"/>
    <w:rsid w:val="00DF1525"/>
    <w:rsid w:val="00DF4912"/>
    <w:rsid w:val="00E008E7"/>
    <w:rsid w:val="00E0135E"/>
    <w:rsid w:val="00E02C11"/>
    <w:rsid w:val="00E1309F"/>
    <w:rsid w:val="00E161B6"/>
    <w:rsid w:val="00E1627B"/>
    <w:rsid w:val="00E16D0E"/>
    <w:rsid w:val="00E171F6"/>
    <w:rsid w:val="00E17780"/>
    <w:rsid w:val="00E22899"/>
    <w:rsid w:val="00E26C21"/>
    <w:rsid w:val="00E30069"/>
    <w:rsid w:val="00E30F2E"/>
    <w:rsid w:val="00E33553"/>
    <w:rsid w:val="00E47328"/>
    <w:rsid w:val="00E47485"/>
    <w:rsid w:val="00E476EE"/>
    <w:rsid w:val="00E511A9"/>
    <w:rsid w:val="00E558C8"/>
    <w:rsid w:val="00E61961"/>
    <w:rsid w:val="00E65E4B"/>
    <w:rsid w:val="00E713A4"/>
    <w:rsid w:val="00E728FD"/>
    <w:rsid w:val="00E7430D"/>
    <w:rsid w:val="00E754EB"/>
    <w:rsid w:val="00E83986"/>
    <w:rsid w:val="00E91E5B"/>
    <w:rsid w:val="00E9504C"/>
    <w:rsid w:val="00E9563E"/>
    <w:rsid w:val="00E95823"/>
    <w:rsid w:val="00EA4289"/>
    <w:rsid w:val="00EA505B"/>
    <w:rsid w:val="00EA5969"/>
    <w:rsid w:val="00EA7116"/>
    <w:rsid w:val="00EA7D6D"/>
    <w:rsid w:val="00EB0689"/>
    <w:rsid w:val="00EB78FD"/>
    <w:rsid w:val="00EC1DD7"/>
    <w:rsid w:val="00EC6FBD"/>
    <w:rsid w:val="00ED2BA8"/>
    <w:rsid w:val="00ED5BFA"/>
    <w:rsid w:val="00EE1DE5"/>
    <w:rsid w:val="00EE3A19"/>
    <w:rsid w:val="00EE7653"/>
    <w:rsid w:val="00EE7A26"/>
    <w:rsid w:val="00EF0523"/>
    <w:rsid w:val="00F00465"/>
    <w:rsid w:val="00F15883"/>
    <w:rsid w:val="00F169A6"/>
    <w:rsid w:val="00F16AD8"/>
    <w:rsid w:val="00F175DC"/>
    <w:rsid w:val="00F1785A"/>
    <w:rsid w:val="00F20AF9"/>
    <w:rsid w:val="00F34611"/>
    <w:rsid w:val="00F352BA"/>
    <w:rsid w:val="00F370C2"/>
    <w:rsid w:val="00F37DFB"/>
    <w:rsid w:val="00F412AF"/>
    <w:rsid w:val="00F416AC"/>
    <w:rsid w:val="00F437AC"/>
    <w:rsid w:val="00F4510D"/>
    <w:rsid w:val="00F45F0C"/>
    <w:rsid w:val="00F46734"/>
    <w:rsid w:val="00F521DD"/>
    <w:rsid w:val="00F53EE0"/>
    <w:rsid w:val="00F5571B"/>
    <w:rsid w:val="00F61C8C"/>
    <w:rsid w:val="00F62D4D"/>
    <w:rsid w:val="00F638B8"/>
    <w:rsid w:val="00F6467A"/>
    <w:rsid w:val="00F672DB"/>
    <w:rsid w:val="00F74874"/>
    <w:rsid w:val="00F748F9"/>
    <w:rsid w:val="00F74C28"/>
    <w:rsid w:val="00F823E2"/>
    <w:rsid w:val="00F82CEE"/>
    <w:rsid w:val="00F849F2"/>
    <w:rsid w:val="00F86629"/>
    <w:rsid w:val="00F86F05"/>
    <w:rsid w:val="00F87738"/>
    <w:rsid w:val="00F90233"/>
    <w:rsid w:val="00FB165E"/>
    <w:rsid w:val="00FB1F89"/>
    <w:rsid w:val="00FB2FBE"/>
    <w:rsid w:val="00FB655E"/>
    <w:rsid w:val="00FC032A"/>
    <w:rsid w:val="00FC0E38"/>
    <w:rsid w:val="00FC1995"/>
    <w:rsid w:val="00FC4374"/>
    <w:rsid w:val="00FC4806"/>
    <w:rsid w:val="00FC61D5"/>
    <w:rsid w:val="00FC7B52"/>
    <w:rsid w:val="00FD3485"/>
    <w:rsid w:val="00FE0758"/>
    <w:rsid w:val="00FE3413"/>
    <w:rsid w:val="00FE721E"/>
    <w:rsid w:val="00FE7CAA"/>
    <w:rsid w:val="00FF5942"/>
    <w:rsid w:val="00FF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F47D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937B79"/>
    <w:pPr>
      <w:spacing w:after="120"/>
    </w:pPr>
  </w:style>
  <w:style w:type="paragraph" w:styleId="Normlnweb">
    <w:name w:val="Normal (Web)"/>
    <w:basedOn w:val="Normln"/>
    <w:rsid w:val="00937B79"/>
    <w:pPr>
      <w:spacing w:before="100" w:beforeAutospacing="1" w:after="100" w:afterAutospacing="1"/>
    </w:pPr>
  </w:style>
  <w:style w:type="paragraph" w:styleId="Rozloendokumentu">
    <w:name w:val="Document Map"/>
    <w:basedOn w:val="Normln"/>
    <w:semiHidden/>
    <w:rsid w:val="005161C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rsid w:val="00C17D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7D7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17D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7D7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F47D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937B79"/>
    <w:pPr>
      <w:spacing w:after="120"/>
    </w:pPr>
  </w:style>
  <w:style w:type="paragraph" w:styleId="Normlnweb">
    <w:name w:val="Normal (Web)"/>
    <w:basedOn w:val="Normln"/>
    <w:rsid w:val="00937B79"/>
    <w:pPr>
      <w:spacing w:before="100" w:beforeAutospacing="1" w:after="100" w:afterAutospacing="1"/>
    </w:pPr>
  </w:style>
  <w:style w:type="paragraph" w:styleId="Rozloendokumentu">
    <w:name w:val="Document Map"/>
    <w:basedOn w:val="Normln"/>
    <w:semiHidden/>
    <w:rsid w:val="005161C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rsid w:val="00C17D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7D7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17D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7D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04D27-F10A-421C-9425-B5863251E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2185</Words>
  <Characters>10596</Characters>
  <Application>Microsoft Office Word</Application>
  <DocSecurity>0</DocSecurity>
  <Lines>88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III</vt:lpstr>
    </vt:vector>
  </TitlesOfParts>
  <Company>MHMP</Company>
  <LinksUpToDate>false</LinksUpToDate>
  <CharactersWithSpaces>12756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</dc:title>
  <dc:creator>INF</dc:creator>
  <cp:lastModifiedBy>Blažková Eva (MHMP, ROZ)</cp:lastModifiedBy>
  <cp:revision>2</cp:revision>
  <cp:lastPrinted>2016-04-05T13:06:00Z</cp:lastPrinted>
  <dcterms:created xsi:type="dcterms:W3CDTF">2016-04-05T13:08:00Z</dcterms:created>
  <dcterms:modified xsi:type="dcterms:W3CDTF">2016-04-05T13:08:00Z</dcterms:modified>
</cp:coreProperties>
</file>