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RPr="00F3023E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3F792E" w:rsidP="00A81CA2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předsedu </w:t>
            </w:r>
            <w:r w:rsidR="00A81CA2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 RHMP pro </w:t>
            </w:r>
            <w:r w:rsidR="00A81CA2">
              <w:rPr>
                <w:b/>
                <w:sz w:val="22"/>
              </w:rPr>
              <w:t>udělování grantů v oblasti cestovního ruchu</w:t>
            </w:r>
          </w:p>
        </w:tc>
      </w:tr>
      <w:tr w:rsidR="00F105E0" w:rsidRPr="00F3023E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707F0C">
        <w:trPr>
          <w:gridAfter w:val="1"/>
          <w:wAfter w:w="6" w:type="dxa"/>
          <w:trHeight w:hRule="exact" w:val="2402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F3023E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>Mgr. František Cipro, PhDr. Jana Hudcová</w:t>
            </w:r>
            <w:r w:rsidR="00F3023E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8B7AFF" w:rsidRPr="00F3023E">
              <w:rPr>
                <w:rFonts w:eastAsia="Calibri"/>
                <w:sz w:val="22"/>
                <w:szCs w:val="22"/>
                <w:lang w:eastAsia="en-US"/>
              </w:rPr>
              <w:t>Ing. Otakar John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A81CA2">
              <w:rPr>
                <w:rFonts w:eastAsia="Calibri"/>
                <w:sz w:val="22"/>
                <w:szCs w:val="22"/>
                <w:lang w:eastAsia="en-US"/>
              </w:rPr>
              <w:t>Zden</w:t>
            </w:r>
            <w:r w:rsidR="00707F0C">
              <w:rPr>
                <w:rFonts w:eastAsia="Calibri"/>
                <w:sz w:val="22"/>
                <w:szCs w:val="22"/>
                <w:lang w:eastAsia="en-US"/>
              </w:rPr>
              <w:t xml:space="preserve">a Štěpánková, </w:t>
            </w:r>
            <w:r w:rsidR="00A1411B" w:rsidRPr="00A1411B">
              <w:rPr>
                <w:rFonts w:eastAsia="Calibri"/>
                <w:sz w:val="22"/>
                <w:szCs w:val="22"/>
                <w:lang w:eastAsia="en-US"/>
              </w:rPr>
              <w:t xml:space="preserve">PhDr. Vladimír Dolejš, </w:t>
            </w:r>
            <w:r w:rsidR="00707F0C">
              <w:rPr>
                <w:rFonts w:eastAsia="Calibri"/>
                <w:sz w:val="22"/>
                <w:szCs w:val="22"/>
                <w:lang w:eastAsia="en-US"/>
              </w:rPr>
              <w:t>Mgr. Robert Pecka</w:t>
            </w:r>
            <w:r w:rsidR="00A81C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07F0C" w:rsidRPr="00F3023E" w:rsidRDefault="00707F0C" w:rsidP="00997ACF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Omluveni: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  <w:r w:rsidRPr="00707F0C">
              <w:rPr>
                <w:rFonts w:eastAsia="Calibri"/>
                <w:sz w:val="22"/>
                <w:szCs w:val="22"/>
                <w:lang w:eastAsia="en-US"/>
              </w:rPr>
              <w:t>Vladimír Šraier</w:t>
            </w:r>
          </w:p>
          <w:p w:rsidR="00997ACF" w:rsidRPr="00F3023E" w:rsidRDefault="00997ACF" w:rsidP="00997ACF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F105E0" w:rsidRPr="00F3023E" w:rsidRDefault="00F105E0" w:rsidP="008B7AFF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05E0" w:rsidRPr="00F3023E" w:rsidTr="00A81CA2">
        <w:trPr>
          <w:gridAfter w:val="1"/>
          <w:wAfter w:w="6" w:type="dxa"/>
          <w:trHeight w:hRule="exact" w:val="849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707F0C">
              <w:rPr>
                <w:b/>
                <w:sz w:val="22"/>
              </w:rPr>
              <w:t xml:space="preserve"> 5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>udělování grantů v oblasti cestovního ruchu</w:t>
            </w:r>
            <w:r w:rsidRPr="00F3023E">
              <w:rPr>
                <w:b/>
                <w:sz w:val="22"/>
              </w:rPr>
              <w:t xml:space="preserve"> konaného dne </w:t>
            </w:r>
            <w:r w:rsidR="00707F0C">
              <w:rPr>
                <w:b/>
                <w:sz w:val="22"/>
              </w:rPr>
              <w:t>16.12.</w:t>
            </w:r>
            <w:r w:rsidR="003F792E" w:rsidRPr="00F3023E">
              <w:rPr>
                <w:b/>
                <w:sz w:val="22"/>
              </w:rPr>
              <w:t>2019</w:t>
            </w:r>
            <w:r w:rsidR="008B7AFF" w:rsidRPr="00F3023E">
              <w:rPr>
                <w:b/>
                <w:sz w:val="22"/>
              </w:rPr>
              <w:t xml:space="preserve"> v</w:t>
            </w:r>
            <w:r w:rsidR="003F792E" w:rsidRPr="00F3023E">
              <w:rPr>
                <w:b/>
                <w:sz w:val="22"/>
              </w:rPr>
              <w:t>e</w:t>
            </w:r>
            <w:r w:rsidR="00864B9E" w:rsidRPr="00F3023E">
              <w:rPr>
                <w:b/>
                <w:sz w:val="22"/>
              </w:rPr>
              <w:t xml:space="preserve"> </w:t>
            </w:r>
            <w:r w:rsidR="00707F0C">
              <w:rPr>
                <w:b/>
                <w:sz w:val="22"/>
              </w:rPr>
              <w:t>14.00</w:t>
            </w:r>
            <w:r w:rsidRPr="00F3023E">
              <w:rPr>
                <w:b/>
                <w:sz w:val="22"/>
              </w:rPr>
              <w:t xml:space="preserve"> hod. 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707F0C">
              <w:rPr>
                <w:b/>
                <w:sz w:val="22"/>
              </w:rPr>
              <w:t xml:space="preserve">odboru KUC v Paláci Adria, </w:t>
            </w:r>
            <w:proofErr w:type="spellStart"/>
            <w:r w:rsidR="00707F0C">
              <w:rPr>
                <w:b/>
                <w:sz w:val="22"/>
              </w:rPr>
              <w:t>Jngmannova</w:t>
            </w:r>
            <w:proofErr w:type="spellEnd"/>
            <w:r w:rsidR="00707F0C">
              <w:rPr>
                <w:b/>
                <w:sz w:val="22"/>
              </w:rPr>
              <w:t xml:space="preserve"> 31/36</w:t>
            </w:r>
          </w:p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A1411B" w:rsidRDefault="00F105E0">
            <w:pPr>
              <w:rPr>
                <w:sz w:val="22"/>
              </w:rPr>
            </w:pPr>
            <w:r w:rsidRPr="00A1411B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A1411B" w:rsidRDefault="00F36EF8" w:rsidP="00A96CBC">
            <w:pPr>
              <w:rPr>
                <w:b/>
                <w:sz w:val="22"/>
              </w:rPr>
            </w:pPr>
            <w:r w:rsidRPr="00A1411B">
              <w:rPr>
                <w:b/>
                <w:sz w:val="22"/>
              </w:rPr>
              <w:t xml:space="preserve"> </w:t>
            </w:r>
            <w:r w:rsidR="005E20BD">
              <w:rPr>
                <w:b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3023E" w:rsidRDefault="00707F0C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16.12.2019</w:t>
            </w:r>
          </w:p>
        </w:tc>
      </w:tr>
    </w:tbl>
    <w:p w:rsidR="00F105E0" w:rsidRPr="00F3023E" w:rsidRDefault="0056283B">
      <w:r w:rsidRPr="00F3023E">
        <w:tab/>
      </w:r>
    </w:p>
    <w:p w:rsidR="00F105E0" w:rsidRPr="00F3023E" w:rsidRDefault="007B75C4" w:rsidP="003F024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Komise se sešla v počtu </w:t>
      </w:r>
      <w:r w:rsidR="00707F0C" w:rsidRPr="00B23842">
        <w:rPr>
          <w:rFonts w:eastAsia="Calibri"/>
          <w:sz w:val="22"/>
          <w:szCs w:val="22"/>
          <w:lang w:eastAsia="en-US"/>
        </w:rPr>
        <w:t>5</w:t>
      </w:r>
      <w:r w:rsidRPr="00B23842">
        <w:rPr>
          <w:rFonts w:eastAsia="Calibri"/>
          <w:sz w:val="22"/>
          <w:szCs w:val="22"/>
          <w:lang w:eastAsia="en-US"/>
        </w:rPr>
        <w:t xml:space="preserve"> osob</w:t>
      </w:r>
      <w:r w:rsidRPr="00F3023E">
        <w:rPr>
          <w:rFonts w:eastAsia="Calibri"/>
          <w:sz w:val="22"/>
          <w:szCs w:val="22"/>
          <w:lang w:eastAsia="en-US"/>
        </w:rPr>
        <w:t xml:space="preserve"> a byla usnášení schopná.</w:t>
      </w:r>
    </w:p>
    <w:p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3023E">
        <w:rPr>
          <w:rFonts w:eastAsia="Calibri"/>
          <w:b/>
          <w:sz w:val="32"/>
          <w:szCs w:val="32"/>
          <w:lang w:eastAsia="en-US"/>
        </w:rPr>
        <w:t>Průběh jednání</w:t>
      </w:r>
    </w:p>
    <w:p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7B75C4" w:rsidRPr="00F3023E" w:rsidRDefault="00A141D1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1.</w:t>
      </w:r>
      <w:r w:rsidR="00362C94"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375095">
        <w:rPr>
          <w:rFonts w:eastAsia="Calibri"/>
          <w:b/>
          <w:sz w:val="28"/>
          <w:szCs w:val="28"/>
          <w:lang w:eastAsia="en-US"/>
        </w:rPr>
        <w:tab/>
      </w:r>
      <w:r w:rsidR="007B75C4" w:rsidRPr="00F3023E">
        <w:rPr>
          <w:rFonts w:eastAsia="Calibri"/>
          <w:b/>
          <w:sz w:val="28"/>
          <w:szCs w:val="28"/>
          <w:lang w:eastAsia="en-US"/>
        </w:rPr>
        <w:t xml:space="preserve">Zahájení </w:t>
      </w:r>
    </w:p>
    <w:p w:rsidR="00E40964" w:rsidRDefault="0069568E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</w:t>
      </w:r>
      <w:r w:rsidR="007B75C4" w:rsidRPr="00F3023E">
        <w:rPr>
          <w:rFonts w:eastAsia="Calibri"/>
          <w:sz w:val="22"/>
          <w:szCs w:val="22"/>
          <w:lang w:eastAsia="en-US"/>
        </w:rPr>
        <w:t xml:space="preserve"> </w:t>
      </w:r>
      <w:r w:rsidR="00E40964" w:rsidRPr="00F3023E">
        <w:rPr>
          <w:rFonts w:eastAsia="Calibri"/>
          <w:sz w:val="22"/>
          <w:szCs w:val="22"/>
          <w:lang w:eastAsia="en-US"/>
        </w:rPr>
        <w:t>Komise</w:t>
      </w:r>
      <w:r w:rsidR="007B75C4" w:rsidRPr="00F3023E">
        <w:rPr>
          <w:rFonts w:eastAsia="Calibri"/>
          <w:sz w:val="22"/>
          <w:szCs w:val="22"/>
          <w:lang w:eastAsia="en-US"/>
        </w:rPr>
        <w:t xml:space="preserve"> uvítal přítomné </w:t>
      </w:r>
      <w:r w:rsidR="00957066">
        <w:rPr>
          <w:rFonts w:eastAsia="Calibri"/>
          <w:sz w:val="22"/>
          <w:szCs w:val="22"/>
          <w:lang w:eastAsia="en-US"/>
        </w:rPr>
        <w:t>členy.</w:t>
      </w:r>
      <w:r w:rsidR="003F792E" w:rsidRPr="00F3023E">
        <w:rPr>
          <w:rFonts w:eastAsia="Calibri"/>
          <w:sz w:val="22"/>
          <w:szCs w:val="22"/>
          <w:lang w:eastAsia="en-US"/>
        </w:rPr>
        <w:t xml:space="preserve"> </w:t>
      </w:r>
      <w:r w:rsidR="00707F0C">
        <w:rPr>
          <w:rFonts w:eastAsia="Calibri"/>
          <w:sz w:val="22"/>
          <w:szCs w:val="22"/>
          <w:lang w:eastAsia="en-US"/>
        </w:rPr>
        <w:t>Všem poděkoval za spolupráci při hodnocení žádostí o dotaci v rámci programu podpory v oblast</w:t>
      </w:r>
      <w:r w:rsidR="00790D2D">
        <w:rPr>
          <w:rFonts w:eastAsia="Calibri"/>
          <w:sz w:val="22"/>
          <w:szCs w:val="22"/>
          <w:lang w:eastAsia="en-US"/>
        </w:rPr>
        <w:t>i cestovního ruchu pro rok 2020</w:t>
      </w:r>
      <w:r w:rsidR="00707F0C">
        <w:rPr>
          <w:rFonts w:eastAsia="Calibri"/>
          <w:sz w:val="22"/>
          <w:szCs w:val="22"/>
          <w:lang w:eastAsia="en-US"/>
        </w:rPr>
        <w:t>.</w:t>
      </w:r>
    </w:p>
    <w:p w:rsidR="00957066" w:rsidRPr="00957066" w:rsidRDefault="00957066" w:rsidP="007B75C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957066">
        <w:rPr>
          <w:rFonts w:eastAsia="Calibri"/>
          <w:b/>
          <w:sz w:val="28"/>
          <w:szCs w:val="28"/>
          <w:lang w:eastAsia="en-US"/>
        </w:rPr>
        <w:t>2.</w:t>
      </w:r>
      <w:r w:rsidRPr="00957066">
        <w:rPr>
          <w:rFonts w:eastAsia="Calibri"/>
          <w:b/>
          <w:sz w:val="28"/>
          <w:szCs w:val="28"/>
          <w:lang w:eastAsia="en-US"/>
        </w:rPr>
        <w:tab/>
      </w:r>
      <w:r w:rsidR="00707F0C">
        <w:rPr>
          <w:rFonts w:eastAsia="Calibri"/>
          <w:b/>
          <w:sz w:val="28"/>
          <w:szCs w:val="28"/>
          <w:lang w:eastAsia="en-US"/>
        </w:rPr>
        <w:t>Projednávání žádostí podaných v rámci P</w:t>
      </w:r>
      <w:r w:rsidR="00707F0C" w:rsidRPr="00707F0C">
        <w:rPr>
          <w:rFonts w:eastAsia="Calibri"/>
          <w:b/>
          <w:sz w:val="28"/>
          <w:szCs w:val="28"/>
          <w:lang w:eastAsia="en-US"/>
        </w:rPr>
        <w:t xml:space="preserve">rogramu podpory </w:t>
      </w:r>
      <w:r w:rsidR="00707F0C">
        <w:rPr>
          <w:rFonts w:eastAsia="Calibri"/>
          <w:b/>
          <w:sz w:val="28"/>
          <w:szCs w:val="28"/>
          <w:lang w:eastAsia="en-US"/>
        </w:rPr>
        <w:t xml:space="preserve">                  </w:t>
      </w:r>
      <w:r w:rsidR="00707F0C" w:rsidRPr="00707F0C">
        <w:rPr>
          <w:rFonts w:eastAsia="Calibri"/>
          <w:b/>
          <w:sz w:val="28"/>
          <w:szCs w:val="28"/>
          <w:lang w:eastAsia="en-US"/>
        </w:rPr>
        <w:t>v oblasti cestovního ruchu pro rok 2020, Opatření II.</w:t>
      </w:r>
    </w:p>
    <w:p w:rsidR="00707F0C" w:rsidRDefault="00707F0C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byla seznámena se </w:t>
      </w:r>
      <w:r w:rsidR="00971199">
        <w:rPr>
          <w:rFonts w:eastAsia="Calibri"/>
          <w:sz w:val="22"/>
          <w:szCs w:val="22"/>
          <w:lang w:eastAsia="en-US"/>
        </w:rPr>
        <w:t>čtyřmi</w:t>
      </w:r>
      <w:r>
        <w:rPr>
          <w:rFonts w:eastAsia="Calibri"/>
          <w:sz w:val="22"/>
          <w:szCs w:val="22"/>
          <w:lang w:eastAsia="en-US"/>
        </w:rPr>
        <w:t xml:space="preserve"> žádostmi o dotaci podanými v rámci výše uvedeného programu, které odbor KUC navrhl k vyřazení z dalšího projednávání z důvodu nesplnění formálních podmínek pro udělení dotace. </w:t>
      </w:r>
      <w:r w:rsidRPr="00707F0C">
        <w:rPr>
          <w:rFonts w:eastAsia="Calibri"/>
          <w:sz w:val="22"/>
          <w:szCs w:val="22"/>
          <w:lang w:eastAsia="en-US"/>
        </w:rPr>
        <w:t>Žádosti, které nesplnily formální podmínky pro udělení dotace v rámci Opatření II., jsou uvedeny v</w:t>
      </w:r>
      <w:r w:rsidR="00FE698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Přehledu č. </w:t>
      </w:r>
      <w:r w:rsidRPr="00707F0C">
        <w:rPr>
          <w:rFonts w:eastAsia="Calibri"/>
          <w:sz w:val="22"/>
          <w:szCs w:val="22"/>
          <w:lang w:eastAsia="en-US"/>
        </w:rPr>
        <w:t>2</w:t>
      </w:r>
      <w:r w:rsidR="004B7B2A">
        <w:rPr>
          <w:rFonts w:eastAsia="Calibri"/>
          <w:sz w:val="22"/>
          <w:szCs w:val="22"/>
          <w:lang w:eastAsia="en-US"/>
        </w:rPr>
        <w:t>.</w:t>
      </w:r>
    </w:p>
    <w:p w:rsidR="00707F0C" w:rsidRDefault="00707F0C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07F0C" w:rsidRDefault="00707F0C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přijala </w:t>
      </w:r>
      <w:proofErr w:type="gramStart"/>
      <w:r>
        <w:rPr>
          <w:rFonts w:eastAsia="Calibri"/>
          <w:sz w:val="22"/>
          <w:szCs w:val="22"/>
          <w:lang w:eastAsia="en-US"/>
        </w:rPr>
        <w:t>následující  u</w:t>
      </w:r>
      <w:proofErr w:type="gramEnd"/>
      <w:r>
        <w:rPr>
          <w:rFonts w:eastAsia="Calibri"/>
          <w:sz w:val="22"/>
          <w:szCs w:val="22"/>
          <w:lang w:eastAsia="en-US"/>
        </w:rPr>
        <w:t xml:space="preserve"> s n e s e n í:</w:t>
      </w:r>
    </w:p>
    <w:p w:rsidR="00707F0C" w:rsidRDefault="00707F0C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07F0C" w:rsidRPr="00707F0C" w:rsidRDefault="00707F0C" w:rsidP="00707F0C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707F0C">
        <w:rPr>
          <w:rFonts w:eastAsia="Calibri"/>
          <w:b/>
          <w:i/>
          <w:sz w:val="22"/>
          <w:szCs w:val="22"/>
          <w:lang w:eastAsia="en-US"/>
        </w:rPr>
        <w:t>Komise Rady hl. m. Prahy pro udělování grantů v oblasti cestovního ruchu doporučuje</w:t>
      </w:r>
      <w:r>
        <w:rPr>
          <w:rFonts w:eastAsia="Calibri"/>
          <w:b/>
          <w:i/>
          <w:sz w:val="22"/>
          <w:szCs w:val="22"/>
          <w:lang w:eastAsia="en-US"/>
        </w:rPr>
        <w:t xml:space="preserve">          </w:t>
      </w:r>
      <w:r w:rsidRPr="00707F0C">
        <w:rPr>
          <w:rFonts w:eastAsia="Calibri"/>
          <w:b/>
          <w:i/>
          <w:sz w:val="22"/>
          <w:szCs w:val="22"/>
          <w:lang w:eastAsia="en-US"/>
        </w:rPr>
        <w:t xml:space="preserve"> 4 žádosti ve výši 1 159 600 Kč, uvedené Přehledu č. 2, vyřadit z dalšího projednávání, a to </w:t>
      </w:r>
      <w:r w:rsidR="006175E0">
        <w:rPr>
          <w:rFonts w:eastAsia="Calibri"/>
          <w:b/>
          <w:i/>
          <w:sz w:val="22"/>
          <w:szCs w:val="22"/>
          <w:lang w:eastAsia="en-US"/>
        </w:rPr>
        <w:t xml:space="preserve">            </w:t>
      </w:r>
      <w:r w:rsidRPr="00707F0C">
        <w:rPr>
          <w:rFonts w:eastAsia="Calibri"/>
          <w:b/>
          <w:i/>
          <w:sz w:val="22"/>
          <w:szCs w:val="22"/>
          <w:lang w:eastAsia="en-US"/>
        </w:rPr>
        <w:t>z důvodu porušení podmínek Programu podpory v oblasti cestovního ruchu pro rok 2020, podle návrhu odboru KUC.</w:t>
      </w:r>
    </w:p>
    <w:p w:rsidR="00707F0C" w:rsidRPr="00707F0C" w:rsidRDefault="00707F0C" w:rsidP="00707F0C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3507D5" w:rsidRDefault="003507D5" w:rsidP="00707F0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507D5" w:rsidRDefault="003507D5" w:rsidP="00707F0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07F0C" w:rsidRPr="00707F0C" w:rsidRDefault="006175E0" w:rsidP="00707F0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Usnesení bylo</w:t>
      </w:r>
      <w:r w:rsidR="00707F0C" w:rsidRPr="00707F0C">
        <w:rPr>
          <w:rFonts w:eastAsia="Calibri"/>
          <w:sz w:val="22"/>
          <w:szCs w:val="22"/>
          <w:lang w:eastAsia="en-US"/>
        </w:rPr>
        <w:t xml:space="preserve"> přijato s výsledkem hlasování:</w:t>
      </w:r>
    </w:p>
    <w:p w:rsidR="00707F0C" w:rsidRPr="00707F0C" w:rsidRDefault="00707F0C" w:rsidP="00707F0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07F0C">
        <w:rPr>
          <w:rFonts w:eastAsia="Calibri"/>
          <w:sz w:val="22"/>
          <w:szCs w:val="22"/>
          <w:lang w:eastAsia="en-US"/>
        </w:rPr>
        <w:t xml:space="preserve">Pro:  </w:t>
      </w:r>
      <w:r w:rsidRPr="00707F0C">
        <w:rPr>
          <w:rFonts w:eastAsia="Calibri"/>
          <w:sz w:val="22"/>
          <w:szCs w:val="22"/>
          <w:lang w:eastAsia="en-US"/>
        </w:rPr>
        <w:tab/>
      </w:r>
      <w:r w:rsidR="003F1E33">
        <w:rPr>
          <w:rFonts w:eastAsia="Calibri"/>
          <w:sz w:val="22"/>
          <w:szCs w:val="22"/>
          <w:lang w:eastAsia="en-US"/>
        </w:rPr>
        <w:t>5</w:t>
      </w:r>
      <w:r w:rsidRPr="00707F0C">
        <w:rPr>
          <w:rFonts w:eastAsia="Calibri"/>
          <w:sz w:val="22"/>
          <w:szCs w:val="22"/>
          <w:lang w:eastAsia="en-US"/>
        </w:rPr>
        <w:tab/>
      </w:r>
      <w:r w:rsidRPr="00707F0C">
        <w:rPr>
          <w:rFonts w:eastAsia="Calibri"/>
          <w:sz w:val="22"/>
          <w:szCs w:val="22"/>
          <w:lang w:eastAsia="en-US"/>
        </w:rPr>
        <w:tab/>
      </w:r>
      <w:r w:rsidRPr="00707F0C">
        <w:rPr>
          <w:rFonts w:eastAsia="Calibri"/>
          <w:sz w:val="22"/>
          <w:szCs w:val="22"/>
          <w:lang w:eastAsia="en-US"/>
        </w:rPr>
        <w:tab/>
        <w:t xml:space="preserve">Proti:   </w:t>
      </w:r>
      <w:r w:rsidRPr="00707F0C">
        <w:rPr>
          <w:rFonts w:eastAsia="Calibri"/>
          <w:sz w:val="22"/>
          <w:szCs w:val="22"/>
          <w:lang w:eastAsia="en-US"/>
        </w:rPr>
        <w:tab/>
      </w:r>
      <w:r w:rsidR="003F1E33">
        <w:rPr>
          <w:rFonts w:eastAsia="Calibri"/>
          <w:sz w:val="22"/>
          <w:szCs w:val="22"/>
          <w:lang w:eastAsia="en-US"/>
        </w:rPr>
        <w:t>0</w:t>
      </w:r>
      <w:r w:rsidRPr="00707F0C">
        <w:rPr>
          <w:rFonts w:eastAsia="Calibri"/>
          <w:sz w:val="22"/>
          <w:szCs w:val="22"/>
          <w:lang w:eastAsia="en-US"/>
        </w:rPr>
        <w:tab/>
      </w:r>
      <w:r w:rsidRPr="00707F0C">
        <w:rPr>
          <w:rFonts w:eastAsia="Calibri"/>
          <w:sz w:val="22"/>
          <w:szCs w:val="22"/>
          <w:lang w:eastAsia="en-US"/>
        </w:rPr>
        <w:tab/>
      </w:r>
      <w:r w:rsidR="006175E0">
        <w:rPr>
          <w:rFonts w:eastAsia="Calibri"/>
          <w:sz w:val="22"/>
          <w:szCs w:val="22"/>
          <w:lang w:eastAsia="en-US"/>
        </w:rPr>
        <w:tab/>
      </w:r>
      <w:r w:rsidRPr="00707F0C">
        <w:rPr>
          <w:rFonts w:eastAsia="Calibri"/>
          <w:sz w:val="22"/>
          <w:szCs w:val="22"/>
          <w:lang w:eastAsia="en-US"/>
        </w:rPr>
        <w:t xml:space="preserve"> Zdržel se:   </w:t>
      </w:r>
      <w:r w:rsidR="003F1E33">
        <w:rPr>
          <w:rFonts w:eastAsia="Calibri"/>
          <w:sz w:val="22"/>
          <w:szCs w:val="22"/>
          <w:lang w:eastAsia="en-US"/>
        </w:rPr>
        <w:t xml:space="preserve"> 0</w:t>
      </w:r>
    </w:p>
    <w:p w:rsidR="00707F0C" w:rsidRDefault="003F1E33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Po hlasování se </w:t>
      </w:r>
      <w:r w:rsidR="006175E0">
        <w:rPr>
          <w:rFonts w:eastAsia="Calibri"/>
          <w:sz w:val="22"/>
          <w:szCs w:val="22"/>
          <w:lang w:eastAsia="en-US"/>
        </w:rPr>
        <w:t xml:space="preserve">na jednání </w:t>
      </w:r>
      <w:r>
        <w:rPr>
          <w:rFonts w:eastAsia="Calibri"/>
          <w:sz w:val="22"/>
          <w:szCs w:val="22"/>
          <w:lang w:eastAsia="en-US"/>
        </w:rPr>
        <w:t>dostavil JUDr. Dolejš.</w:t>
      </w:r>
    </w:p>
    <w:p w:rsidR="003F1E33" w:rsidRDefault="003F1E33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21181" w:rsidRDefault="003F1E33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F1E33">
        <w:rPr>
          <w:rFonts w:eastAsia="Calibri"/>
          <w:sz w:val="22"/>
          <w:szCs w:val="22"/>
          <w:lang w:eastAsia="en-US"/>
        </w:rPr>
        <w:t xml:space="preserve">Komisi </w:t>
      </w:r>
      <w:r>
        <w:rPr>
          <w:rFonts w:eastAsia="Calibri"/>
          <w:sz w:val="22"/>
          <w:szCs w:val="22"/>
          <w:lang w:eastAsia="en-US"/>
        </w:rPr>
        <w:t>bylo</w:t>
      </w:r>
      <w:r w:rsidRPr="003F1E33">
        <w:rPr>
          <w:rFonts w:eastAsia="Calibri"/>
          <w:sz w:val="22"/>
          <w:szCs w:val="22"/>
          <w:lang w:eastAsia="en-US"/>
        </w:rPr>
        <w:t xml:space="preserve"> </w:t>
      </w:r>
      <w:r w:rsidR="00321181">
        <w:rPr>
          <w:rFonts w:eastAsia="Calibri"/>
          <w:sz w:val="22"/>
          <w:szCs w:val="22"/>
          <w:lang w:eastAsia="en-US"/>
        </w:rPr>
        <w:t>poté</w:t>
      </w:r>
      <w:r w:rsidRPr="003F1E33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předloženo</w:t>
      </w:r>
      <w:r w:rsidRPr="003F1E33">
        <w:rPr>
          <w:rFonts w:eastAsia="Calibri"/>
          <w:sz w:val="22"/>
          <w:szCs w:val="22"/>
          <w:lang w:eastAsia="en-US"/>
        </w:rPr>
        <w:t xml:space="preserve"> celkem 15 žádostí, podaných na MHMP v rámci Programu podpory v oblasti cestovního ruchu pro rok 2020, Opatření II.,  které splnily formální podmínky pro udělení dotace v rámci Opatření II. </w:t>
      </w:r>
      <w:r>
        <w:rPr>
          <w:rFonts w:eastAsia="Calibri"/>
          <w:sz w:val="22"/>
          <w:szCs w:val="22"/>
          <w:lang w:eastAsia="en-US"/>
        </w:rPr>
        <w:t>a jsou uvedeny v Přehledu č.</w:t>
      </w:r>
      <w:r w:rsidRPr="003F1E33">
        <w:rPr>
          <w:rFonts w:eastAsia="Calibri"/>
          <w:sz w:val="22"/>
          <w:szCs w:val="22"/>
          <w:lang w:eastAsia="en-US"/>
        </w:rPr>
        <w:t xml:space="preserve"> 1.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321181" w:rsidRPr="00321181">
        <w:rPr>
          <w:rFonts w:eastAsia="Calibri"/>
          <w:sz w:val="22"/>
          <w:szCs w:val="22"/>
          <w:lang w:eastAsia="en-US"/>
        </w:rPr>
        <w:t xml:space="preserve">Komisi byl </w:t>
      </w:r>
      <w:r w:rsidR="00321181">
        <w:rPr>
          <w:rFonts w:eastAsia="Calibri"/>
          <w:sz w:val="22"/>
          <w:szCs w:val="22"/>
          <w:lang w:eastAsia="en-US"/>
        </w:rPr>
        <w:t xml:space="preserve">dále </w:t>
      </w:r>
      <w:r w:rsidR="00321181" w:rsidRPr="00321181">
        <w:rPr>
          <w:rFonts w:eastAsia="Calibri"/>
          <w:sz w:val="22"/>
          <w:szCs w:val="22"/>
          <w:lang w:eastAsia="en-US"/>
        </w:rPr>
        <w:t xml:space="preserve">předložen přehled hodnocení </w:t>
      </w:r>
      <w:r w:rsidR="00321181">
        <w:rPr>
          <w:rFonts w:eastAsia="Calibri"/>
          <w:sz w:val="22"/>
          <w:szCs w:val="22"/>
          <w:lang w:eastAsia="en-US"/>
        </w:rPr>
        <w:t>výše uvedených žádostí v t</w:t>
      </w:r>
      <w:r w:rsidR="00321181" w:rsidRPr="00321181">
        <w:rPr>
          <w:rFonts w:eastAsia="Calibri"/>
          <w:sz w:val="22"/>
          <w:szCs w:val="22"/>
          <w:lang w:eastAsia="en-US"/>
        </w:rPr>
        <w:t>abulce č. 3 „Souhrnná tabulka hodnocení žádostí a dotací navržených Komisí RHMP pro udělování grantů v oblasti cestovního ruchu -  Program podpory v oblasti  cestovního ruchu pro rok 2020, Opatření II.“, kterou odbor KUC zpracoval na základě odevzdaných hodnocení.</w:t>
      </w:r>
      <w:r w:rsidR="00321181">
        <w:rPr>
          <w:rFonts w:eastAsia="Calibri"/>
          <w:sz w:val="22"/>
          <w:szCs w:val="22"/>
          <w:lang w:eastAsia="en-US"/>
        </w:rPr>
        <w:t xml:space="preserve"> </w:t>
      </w:r>
      <w:r w:rsidR="00321181" w:rsidRPr="00321181">
        <w:rPr>
          <w:rFonts w:eastAsia="Calibri"/>
          <w:sz w:val="22"/>
          <w:szCs w:val="22"/>
          <w:lang w:eastAsia="en-US"/>
        </w:rPr>
        <w:t>Každý z hodnotitelů hodnotil každou žádost jednotlivě na předepsaném formuláři.</w:t>
      </w:r>
    </w:p>
    <w:p w:rsidR="006175E0" w:rsidRDefault="006175E0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602F4" w:rsidRDefault="006175E0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 průběhu tohoto bodu se na jednání </w:t>
      </w:r>
      <w:r w:rsidR="007602F4">
        <w:rPr>
          <w:rFonts w:eastAsia="Calibri"/>
          <w:sz w:val="22"/>
          <w:szCs w:val="22"/>
          <w:lang w:eastAsia="en-US"/>
        </w:rPr>
        <w:t>dostavil Mgr. Pecka.</w:t>
      </w:r>
    </w:p>
    <w:p w:rsidR="00321181" w:rsidRDefault="00321181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602F4" w:rsidRDefault="003F1E33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Komise se dohodla, že bude</w:t>
      </w:r>
      <w:r w:rsidR="007602F4">
        <w:rPr>
          <w:rFonts w:eastAsia="Calibri"/>
          <w:sz w:val="22"/>
          <w:szCs w:val="22"/>
          <w:lang w:eastAsia="en-US"/>
        </w:rPr>
        <w:t xml:space="preserve"> žádosti projednávat jednotlivě</w:t>
      </w:r>
      <w:r w:rsidR="004B7B2A">
        <w:rPr>
          <w:rFonts w:eastAsia="Calibri"/>
          <w:sz w:val="22"/>
          <w:szCs w:val="22"/>
          <w:lang w:eastAsia="en-US"/>
        </w:rPr>
        <w:t>.</w:t>
      </w:r>
    </w:p>
    <w:p w:rsidR="006A4C57" w:rsidRDefault="006A4C57" w:rsidP="0033464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34647" w:rsidRPr="00943597" w:rsidRDefault="00943597" w:rsidP="0033464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43597">
        <w:rPr>
          <w:rFonts w:eastAsia="Calibri"/>
          <w:sz w:val="22"/>
          <w:szCs w:val="22"/>
          <w:lang w:eastAsia="en-US"/>
        </w:rPr>
        <w:t xml:space="preserve">Komise po individuálním projednání všech 15 žádostí, které splnily formální podmínky pro udělení dotace, schválila </w:t>
      </w:r>
      <w:proofErr w:type="gramStart"/>
      <w:r w:rsidRPr="00943597">
        <w:rPr>
          <w:rFonts w:eastAsia="Calibri"/>
          <w:sz w:val="22"/>
          <w:szCs w:val="22"/>
          <w:lang w:eastAsia="en-US"/>
        </w:rPr>
        <w:t>následující  u</w:t>
      </w:r>
      <w:proofErr w:type="gramEnd"/>
      <w:r w:rsidRPr="00943597">
        <w:rPr>
          <w:rFonts w:eastAsia="Calibri"/>
          <w:sz w:val="22"/>
          <w:szCs w:val="22"/>
          <w:lang w:eastAsia="en-US"/>
        </w:rPr>
        <w:t xml:space="preserve"> s n e s e n í:</w:t>
      </w:r>
    </w:p>
    <w:p w:rsidR="00943597" w:rsidRDefault="00943597" w:rsidP="00334647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943597" w:rsidRDefault="00943597" w:rsidP="00943597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43597">
        <w:rPr>
          <w:rFonts w:eastAsia="Calibri"/>
          <w:b/>
          <w:i/>
          <w:sz w:val="22"/>
          <w:szCs w:val="22"/>
          <w:lang w:eastAsia="en-US"/>
        </w:rPr>
        <w:t xml:space="preserve">Komise Rady hl. m. Prahy pro udělování grantů v oblasti cestovního ruchu doporučuje udělení podpory v celkové výši </w:t>
      </w:r>
      <w:r>
        <w:rPr>
          <w:rFonts w:eastAsia="Calibri"/>
          <w:b/>
          <w:i/>
          <w:sz w:val="22"/>
          <w:szCs w:val="22"/>
          <w:lang w:eastAsia="en-US"/>
        </w:rPr>
        <w:t xml:space="preserve">5 219 </w:t>
      </w:r>
      <w:proofErr w:type="gramStart"/>
      <w:r>
        <w:rPr>
          <w:rFonts w:eastAsia="Calibri"/>
          <w:b/>
          <w:i/>
          <w:sz w:val="22"/>
          <w:szCs w:val="22"/>
          <w:lang w:eastAsia="en-US"/>
        </w:rPr>
        <w:t>000</w:t>
      </w:r>
      <w:r w:rsidRPr="00943597">
        <w:rPr>
          <w:rFonts w:eastAsia="Calibri"/>
          <w:b/>
          <w:i/>
          <w:sz w:val="22"/>
          <w:szCs w:val="22"/>
          <w:lang w:eastAsia="en-US"/>
        </w:rPr>
        <w:t xml:space="preserve">  Kč</w:t>
      </w:r>
      <w:proofErr w:type="gramEnd"/>
      <w:r w:rsidRPr="00943597">
        <w:rPr>
          <w:rFonts w:eastAsia="Calibri"/>
          <w:b/>
          <w:i/>
          <w:sz w:val="22"/>
          <w:szCs w:val="22"/>
          <w:lang w:eastAsia="en-US"/>
        </w:rPr>
        <w:t xml:space="preserve"> žádostem, které splnily formální podmínky pro udělení dotace v rámci</w:t>
      </w:r>
      <w:r w:rsidRPr="00943597">
        <w:rPr>
          <w:rFonts w:eastAsia="Calibri"/>
          <w:b/>
          <w:sz w:val="22"/>
          <w:szCs w:val="22"/>
          <w:lang w:eastAsia="en-US"/>
        </w:rPr>
        <w:t xml:space="preserve"> </w:t>
      </w:r>
      <w:r w:rsidRPr="00943597">
        <w:rPr>
          <w:rFonts w:eastAsia="Calibri"/>
          <w:b/>
          <w:i/>
          <w:sz w:val="22"/>
          <w:szCs w:val="22"/>
          <w:lang w:eastAsia="en-US"/>
        </w:rPr>
        <w:t xml:space="preserve">Programu podpory v oblasti cestovního ruchu pro rok 2020,  Opatření II. a jsou uvedeny v Přehledu č. 1.  Tyto žádosti zároveň doporučuje k dalšímu projednání ve Výboru ZHMP pro kulturu, výstavnictví, cestovní ruch a zahraniční vztahy. </w:t>
      </w:r>
    </w:p>
    <w:p w:rsidR="00943597" w:rsidRPr="00943597" w:rsidRDefault="00943597" w:rsidP="00943597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943597" w:rsidRPr="00943597" w:rsidRDefault="003130A7" w:rsidP="0094359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Usnesení bylo přijato s výsledkem hlasování:</w:t>
      </w:r>
    </w:p>
    <w:p w:rsidR="00943597" w:rsidRDefault="00943597" w:rsidP="0094359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Pro: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6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Proti: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0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Zdržel se: </w:t>
      </w:r>
      <w:r>
        <w:rPr>
          <w:rFonts w:eastAsia="Calibri"/>
          <w:sz w:val="22"/>
          <w:szCs w:val="22"/>
          <w:lang w:eastAsia="en-US"/>
        </w:rPr>
        <w:tab/>
        <w:t xml:space="preserve">    1</w:t>
      </w:r>
    </w:p>
    <w:p w:rsidR="007602F4" w:rsidRDefault="007602F4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015AA" w:rsidRDefault="00F015AA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Tabulka č. 3 </w:t>
      </w:r>
      <w:r w:rsidR="002969F3" w:rsidRPr="002969F3">
        <w:rPr>
          <w:rFonts w:eastAsia="Calibri"/>
          <w:sz w:val="22"/>
          <w:szCs w:val="22"/>
          <w:lang w:eastAsia="en-US"/>
        </w:rPr>
        <w:t>„ Souhrnná tabulka hodnocení žádostí a dotací navržených Komisí RHMP pro udělování grantů v oblasti cestovního ruch</w:t>
      </w:r>
      <w:r w:rsidR="002969F3">
        <w:rPr>
          <w:rFonts w:eastAsia="Calibri"/>
          <w:sz w:val="22"/>
          <w:szCs w:val="22"/>
          <w:lang w:eastAsia="en-US"/>
        </w:rPr>
        <w:t xml:space="preserve">u -  Program podpory v oblasti </w:t>
      </w:r>
      <w:r w:rsidR="002969F3" w:rsidRPr="002969F3">
        <w:rPr>
          <w:rFonts w:eastAsia="Calibri"/>
          <w:sz w:val="22"/>
          <w:szCs w:val="22"/>
          <w:lang w:eastAsia="en-US"/>
        </w:rPr>
        <w:t>cestovního ruchu pro rok 2020, Opatření II.“</w:t>
      </w:r>
      <w:r w:rsidR="002969F3">
        <w:rPr>
          <w:rFonts w:eastAsia="Calibri"/>
          <w:sz w:val="22"/>
          <w:szCs w:val="22"/>
          <w:lang w:eastAsia="en-US"/>
        </w:rPr>
        <w:t xml:space="preserve"> je přílohou tohoto zápisu.</w:t>
      </w:r>
    </w:p>
    <w:p w:rsidR="00A246B0" w:rsidRDefault="008115C3" w:rsidP="006D6295">
      <w:pPr>
        <w:spacing w:before="240"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3. Různé</w:t>
      </w:r>
    </w:p>
    <w:p w:rsidR="006928C0" w:rsidRDefault="002969F3" w:rsidP="006D6295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 tomto bodě p</w:t>
      </w:r>
      <w:r w:rsidR="006928C0">
        <w:rPr>
          <w:rFonts w:eastAsia="Calibri"/>
          <w:sz w:val="22"/>
          <w:szCs w:val="22"/>
          <w:lang w:eastAsia="en-US"/>
        </w:rPr>
        <w:t xml:space="preserve">roběhla diskuse ohledně </w:t>
      </w:r>
      <w:r w:rsidR="00785CF3">
        <w:rPr>
          <w:rFonts w:eastAsia="Calibri"/>
          <w:sz w:val="22"/>
          <w:szCs w:val="22"/>
          <w:lang w:eastAsia="en-US"/>
        </w:rPr>
        <w:t>technických aspektů h</w:t>
      </w:r>
      <w:r w:rsidR="00A1411B">
        <w:rPr>
          <w:rFonts w:eastAsia="Calibri"/>
          <w:sz w:val="22"/>
          <w:szCs w:val="22"/>
          <w:lang w:eastAsia="en-US"/>
        </w:rPr>
        <w:t>odnocení žádostí. Mnozí členové</w:t>
      </w:r>
      <w:r w:rsidR="00785CF3">
        <w:rPr>
          <w:rFonts w:eastAsia="Calibri"/>
          <w:sz w:val="22"/>
          <w:szCs w:val="22"/>
          <w:lang w:eastAsia="en-US"/>
        </w:rPr>
        <w:t xml:space="preserve"> měli problém žádosti, které jim byly zaslány ve stávajícím formátu používaném aktuálně na MHMP, otevřít.</w:t>
      </w:r>
      <w:r w:rsidR="006928C0">
        <w:rPr>
          <w:rFonts w:eastAsia="Calibri"/>
          <w:sz w:val="22"/>
          <w:szCs w:val="22"/>
          <w:lang w:eastAsia="en-US"/>
        </w:rPr>
        <w:t xml:space="preserve"> Formát je dle jejich názoru </w:t>
      </w:r>
      <w:r w:rsidR="00785CF3">
        <w:rPr>
          <w:rFonts w:eastAsia="Calibri"/>
          <w:sz w:val="22"/>
          <w:szCs w:val="22"/>
          <w:lang w:eastAsia="en-US"/>
        </w:rPr>
        <w:t xml:space="preserve">zastaralý a je </w:t>
      </w:r>
      <w:r w:rsidR="006928C0">
        <w:rPr>
          <w:rFonts w:eastAsia="Calibri"/>
          <w:sz w:val="22"/>
          <w:szCs w:val="22"/>
          <w:lang w:eastAsia="en-US"/>
        </w:rPr>
        <w:t>nevyhovující</w:t>
      </w:r>
      <w:r w:rsidR="00785CF3">
        <w:rPr>
          <w:rFonts w:eastAsia="Calibri"/>
          <w:sz w:val="22"/>
          <w:szCs w:val="22"/>
          <w:lang w:eastAsia="en-US"/>
        </w:rPr>
        <w:t xml:space="preserve"> i pro</w:t>
      </w:r>
      <w:r>
        <w:rPr>
          <w:rFonts w:eastAsia="Calibri"/>
          <w:sz w:val="22"/>
          <w:szCs w:val="22"/>
          <w:lang w:eastAsia="en-US"/>
        </w:rPr>
        <w:t xml:space="preserve"> svou</w:t>
      </w:r>
      <w:r w:rsidR="00785CF3">
        <w:rPr>
          <w:rFonts w:eastAsia="Calibri"/>
          <w:sz w:val="22"/>
          <w:szCs w:val="22"/>
          <w:lang w:eastAsia="en-US"/>
        </w:rPr>
        <w:t xml:space="preserve"> nekompatibilitu se zařízeními</w:t>
      </w:r>
      <w:r w:rsidR="006928C0">
        <w:rPr>
          <w:rFonts w:eastAsia="Calibri"/>
          <w:sz w:val="22"/>
          <w:szCs w:val="22"/>
          <w:lang w:eastAsia="en-US"/>
        </w:rPr>
        <w:t xml:space="preserve"> Apple MAC</w:t>
      </w:r>
      <w:r w:rsidR="00785CF3">
        <w:rPr>
          <w:rFonts w:eastAsia="Calibri"/>
          <w:sz w:val="22"/>
          <w:szCs w:val="22"/>
          <w:lang w:eastAsia="en-US"/>
        </w:rPr>
        <w:t>, která hodnotitelé často používají.</w:t>
      </w:r>
    </w:p>
    <w:p w:rsidR="006928C0" w:rsidRDefault="006928C0" w:rsidP="006D6295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 této problematice přijala Komise </w:t>
      </w:r>
      <w:proofErr w:type="gramStart"/>
      <w:r>
        <w:rPr>
          <w:rFonts w:eastAsia="Calibri"/>
          <w:sz w:val="22"/>
          <w:szCs w:val="22"/>
          <w:lang w:eastAsia="en-US"/>
        </w:rPr>
        <w:t>následující  u</w:t>
      </w:r>
      <w:proofErr w:type="gramEnd"/>
      <w:r>
        <w:rPr>
          <w:rFonts w:eastAsia="Calibri"/>
          <w:sz w:val="22"/>
          <w:szCs w:val="22"/>
          <w:lang w:eastAsia="en-US"/>
        </w:rPr>
        <w:t xml:space="preserve"> s n e s e n í  :</w:t>
      </w:r>
    </w:p>
    <w:p w:rsidR="006928C0" w:rsidRPr="006928C0" w:rsidRDefault="006928C0" w:rsidP="006D6295">
      <w:pPr>
        <w:spacing w:before="240" w:after="200"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43597">
        <w:rPr>
          <w:rFonts w:eastAsia="Calibri"/>
          <w:b/>
          <w:i/>
          <w:sz w:val="22"/>
          <w:szCs w:val="22"/>
          <w:lang w:eastAsia="en-US"/>
        </w:rPr>
        <w:t>Komise Rady hl. m. Prahy pro udělování grantů v oblasti cestovního ruchu</w:t>
      </w:r>
      <w:r>
        <w:rPr>
          <w:rFonts w:eastAsia="Calibri"/>
          <w:b/>
          <w:i/>
          <w:sz w:val="22"/>
          <w:szCs w:val="22"/>
          <w:lang w:eastAsia="en-US"/>
        </w:rPr>
        <w:t xml:space="preserve"> žádá </w:t>
      </w:r>
      <w:r w:rsidR="002969F3">
        <w:rPr>
          <w:rFonts w:eastAsia="Calibri"/>
          <w:b/>
          <w:i/>
          <w:sz w:val="22"/>
          <w:szCs w:val="22"/>
          <w:lang w:eastAsia="en-US"/>
        </w:rPr>
        <w:t>věcně příslušný odbor</w:t>
      </w:r>
      <w:r w:rsidR="00FA4962">
        <w:rPr>
          <w:rFonts w:eastAsia="Calibri"/>
          <w:b/>
          <w:i/>
          <w:sz w:val="22"/>
          <w:szCs w:val="22"/>
          <w:lang w:eastAsia="en-US"/>
        </w:rPr>
        <w:t xml:space="preserve"> MHMP</w:t>
      </w:r>
      <w:r w:rsidR="002969F3">
        <w:rPr>
          <w:rFonts w:eastAsia="Calibri"/>
          <w:b/>
          <w:i/>
          <w:sz w:val="22"/>
          <w:szCs w:val="22"/>
          <w:lang w:eastAsia="en-US"/>
        </w:rPr>
        <w:t>,</w:t>
      </w:r>
      <w:r>
        <w:rPr>
          <w:rFonts w:eastAsia="Calibri"/>
          <w:b/>
          <w:i/>
          <w:sz w:val="22"/>
          <w:szCs w:val="22"/>
          <w:lang w:eastAsia="en-US"/>
        </w:rPr>
        <w:t xml:space="preserve"> aby se opětovně pokusil řešit problém evidence grantů s ohledem na potřeby jednotlivých grantových pracovišť, a to </w:t>
      </w:r>
      <w:r w:rsidR="00A1411B">
        <w:rPr>
          <w:rFonts w:eastAsia="Calibri"/>
          <w:b/>
          <w:i/>
          <w:sz w:val="22"/>
          <w:szCs w:val="22"/>
          <w:lang w:eastAsia="en-US"/>
        </w:rPr>
        <w:t>včetně potřeb a</w:t>
      </w:r>
      <w:r w:rsidR="002969F3">
        <w:rPr>
          <w:rFonts w:eastAsia="Calibri"/>
          <w:b/>
          <w:i/>
          <w:sz w:val="22"/>
          <w:szCs w:val="22"/>
          <w:lang w:eastAsia="en-US"/>
        </w:rPr>
        <w:t xml:space="preserve"> technických</w:t>
      </w:r>
      <w:r w:rsidR="00A1411B">
        <w:rPr>
          <w:rFonts w:eastAsia="Calibri"/>
          <w:b/>
          <w:i/>
          <w:sz w:val="22"/>
          <w:szCs w:val="22"/>
          <w:lang w:eastAsia="en-US"/>
        </w:rPr>
        <w:t xml:space="preserve"> možností</w:t>
      </w:r>
      <w:r w:rsidR="00785CF3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A1411B">
        <w:rPr>
          <w:rFonts w:eastAsia="Calibri"/>
          <w:b/>
          <w:i/>
          <w:sz w:val="22"/>
          <w:szCs w:val="22"/>
          <w:lang w:eastAsia="en-US"/>
        </w:rPr>
        <w:t>hodnotitelů.</w:t>
      </w:r>
    </w:p>
    <w:p w:rsidR="003507D5" w:rsidRDefault="003507D5" w:rsidP="00925B7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507D5" w:rsidRDefault="003507D5" w:rsidP="00925B7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1618E" w:rsidRDefault="007E40F7" w:rsidP="00925B7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E40F7">
        <w:rPr>
          <w:rFonts w:eastAsia="Calibri"/>
          <w:sz w:val="22"/>
          <w:szCs w:val="22"/>
          <w:lang w:eastAsia="en-US"/>
        </w:rPr>
        <w:lastRenderedPageBreak/>
        <w:t xml:space="preserve">Dr. Hudcová prezentovala </w:t>
      </w:r>
      <w:r>
        <w:rPr>
          <w:rFonts w:eastAsia="Calibri"/>
          <w:sz w:val="22"/>
          <w:szCs w:val="22"/>
          <w:lang w:eastAsia="en-US"/>
        </w:rPr>
        <w:t>stano</w:t>
      </w:r>
      <w:r w:rsidR="00FA4962">
        <w:rPr>
          <w:rFonts w:eastAsia="Calibri"/>
          <w:sz w:val="22"/>
          <w:szCs w:val="22"/>
          <w:lang w:eastAsia="en-US"/>
        </w:rPr>
        <w:t xml:space="preserve">visko odboru LEG, JUDr. </w:t>
      </w:r>
      <w:proofErr w:type="spellStart"/>
      <w:r w:rsidR="00FA4962">
        <w:rPr>
          <w:rFonts w:eastAsia="Calibri"/>
          <w:sz w:val="22"/>
          <w:szCs w:val="22"/>
          <w:lang w:eastAsia="en-US"/>
        </w:rPr>
        <w:t>Folbera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ohledně </w:t>
      </w:r>
      <w:r w:rsidRPr="007E40F7">
        <w:rPr>
          <w:rFonts w:eastAsia="Calibri"/>
          <w:sz w:val="22"/>
          <w:szCs w:val="22"/>
          <w:lang w:eastAsia="en-US"/>
        </w:rPr>
        <w:t>možnost</w:t>
      </w:r>
      <w:r w:rsidR="00A1411B">
        <w:rPr>
          <w:rFonts w:eastAsia="Calibri"/>
          <w:sz w:val="22"/>
          <w:szCs w:val="22"/>
          <w:lang w:eastAsia="en-US"/>
        </w:rPr>
        <w:t>i</w:t>
      </w:r>
      <w:r w:rsidRPr="007E40F7">
        <w:rPr>
          <w:rFonts w:eastAsia="Calibri"/>
          <w:sz w:val="22"/>
          <w:szCs w:val="22"/>
          <w:lang w:eastAsia="en-US"/>
        </w:rPr>
        <w:t xml:space="preserve">, zda by </w:t>
      </w:r>
      <w:r w:rsidR="00A1411B">
        <w:rPr>
          <w:rFonts w:eastAsia="Calibri"/>
          <w:sz w:val="22"/>
          <w:szCs w:val="22"/>
          <w:lang w:eastAsia="en-US"/>
        </w:rPr>
        <w:t xml:space="preserve">           </w:t>
      </w:r>
      <w:r w:rsidRPr="007E40F7">
        <w:rPr>
          <w:rFonts w:eastAsia="Calibri"/>
          <w:sz w:val="22"/>
          <w:szCs w:val="22"/>
          <w:lang w:eastAsia="en-US"/>
        </w:rPr>
        <w:t>v dalším roce o dotaci mohly žádat subjekty, které nebudou pořadateli akce, ale organizátory na základě plné moci nebo smlouvy od pořadatele, a to i v případě, že pořadatelem bude subjekt registrovaný v ČR a se sídlem v ČR.</w:t>
      </w:r>
      <w:r w:rsidR="00132BC3">
        <w:rPr>
          <w:rFonts w:eastAsia="Calibri"/>
          <w:sz w:val="22"/>
          <w:szCs w:val="22"/>
          <w:lang w:eastAsia="en-US"/>
        </w:rPr>
        <w:t xml:space="preserve"> </w:t>
      </w:r>
      <w:r w:rsidRPr="007E40F7">
        <w:rPr>
          <w:rFonts w:eastAsia="Calibri"/>
          <w:sz w:val="22"/>
          <w:szCs w:val="22"/>
          <w:lang w:eastAsia="en-US"/>
        </w:rPr>
        <w:t xml:space="preserve">Odbor LEG nepodporuje tuto variantu. MHMP by mohl být obviněn z obcházení zákona, konkrétně nařízení EK č. 1407/2013 o použití článků 107 a 108 Smlouvy o fungování EU na podporu </w:t>
      </w:r>
      <w:r w:rsidR="00FA4962">
        <w:rPr>
          <w:rFonts w:eastAsia="Calibri"/>
          <w:sz w:val="22"/>
          <w:szCs w:val="22"/>
          <w:lang w:eastAsia="en-US"/>
        </w:rPr>
        <w:t>„</w:t>
      </w:r>
      <w:r w:rsidRPr="007E40F7">
        <w:rPr>
          <w:rFonts w:eastAsia="Calibri"/>
          <w:sz w:val="22"/>
          <w:szCs w:val="22"/>
          <w:lang w:eastAsia="en-US"/>
        </w:rPr>
        <w:t>de minimis</w:t>
      </w:r>
      <w:r w:rsidR="00FA4962">
        <w:rPr>
          <w:rFonts w:eastAsia="Calibri"/>
          <w:sz w:val="22"/>
          <w:szCs w:val="22"/>
          <w:lang w:eastAsia="en-US"/>
        </w:rPr>
        <w:t>“</w:t>
      </w:r>
      <w:r w:rsidRPr="007E40F7">
        <w:rPr>
          <w:rFonts w:eastAsia="Calibri"/>
          <w:sz w:val="22"/>
          <w:szCs w:val="22"/>
          <w:lang w:eastAsia="en-US"/>
        </w:rPr>
        <w:t>.</w:t>
      </w:r>
      <w:r w:rsidR="00925B75">
        <w:rPr>
          <w:rFonts w:eastAsia="Calibri"/>
          <w:sz w:val="22"/>
          <w:szCs w:val="22"/>
          <w:lang w:eastAsia="en-US"/>
        </w:rPr>
        <w:t xml:space="preserve"> </w:t>
      </w:r>
      <w:r w:rsidR="00877F95" w:rsidRPr="00877F95">
        <w:rPr>
          <w:rFonts w:eastAsia="Calibri"/>
          <w:sz w:val="22"/>
          <w:szCs w:val="22"/>
          <w:lang w:eastAsia="en-US"/>
        </w:rPr>
        <w:t xml:space="preserve">Předseda pověřil odbor KUC, aby </w:t>
      </w:r>
      <w:r w:rsidR="00877F95">
        <w:rPr>
          <w:rFonts w:eastAsia="Calibri"/>
          <w:sz w:val="22"/>
          <w:szCs w:val="22"/>
          <w:lang w:eastAsia="en-US"/>
        </w:rPr>
        <w:t>na další jednání Komise přizval vedoucího odd.</w:t>
      </w:r>
      <w:r w:rsidR="00FA4962">
        <w:rPr>
          <w:rFonts w:eastAsia="Calibri"/>
          <w:sz w:val="22"/>
          <w:szCs w:val="22"/>
          <w:lang w:eastAsia="en-US"/>
        </w:rPr>
        <w:t xml:space="preserve"> grantové </w:t>
      </w:r>
      <w:r w:rsidR="00877F95">
        <w:rPr>
          <w:rFonts w:eastAsia="Calibri"/>
          <w:sz w:val="22"/>
          <w:szCs w:val="22"/>
          <w:lang w:eastAsia="en-US"/>
        </w:rPr>
        <w:t>podpory LEG MHMP.</w:t>
      </w:r>
    </w:p>
    <w:p w:rsidR="00925B75" w:rsidRPr="00877F95" w:rsidRDefault="00925B75" w:rsidP="00925B7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022F95" w:rsidRPr="00F3023E" w:rsidRDefault="00D40C3A" w:rsidP="007B75C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 xml:space="preserve">4. Závěr </w:t>
      </w:r>
      <w:r w:rsidR="005E24ED" w:rsidRPr="00F3023E">
        <w:rPr>
          <w:rFonts w:eastAsia="Calibri"/>
          <w:b/>
          <w:sz w:val="28"/>
          <w:szCs w:val="28"/>
          <w:lang w:eastAsia="en-US"/>
        </w:rPr>
        <w:t xml:space="preserve">jednání </w:t>
      </w:r>
      <w:r w:rsidRPr="00F3023E">
        <w:rPr>
          <w:rFonts w:eastAsia="Calibri"/>
          <w:b/>
          <w:sz w:val="28"/>
          <w:szCs w:val="28"/>
          <w:lang w:eastAsia="en-US"/>
        </w:rPr>
        <w:t>a rekapitulace úkolů</w:t>
      </w:r>
    </w:p>
    <w:p w:rsidR="00877F95" w:rsidRDefault="00926E66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Komise se dohodla</w:t>
      </w:r>
      <w:r w:rsidR="00AF3DBA">
        <w:rPr>
          <w:rFonts w:eastAsia="Calibri"/>
          <w:sz w:val="22"/>
          <w:szCs w:val="22"/>
          <w:lang w:eastAsia="en-US"/>
        </w:rPr>
        <w:t>, že</w:t>
      </w:r>
      <w:r w:rsidR="006674AB">
        <w:rPr>
          <w:rFonts w:eastAsia="Calibri"/>
          <w:sz w:val="22"/>
          <w:szCs w:val="22"/>
          <w:lang w:eastAsia="en-US"/>
        </w:rPr>
        <w:t xml:space="preserve"> další jednání se bude konat </w:t>
      </w:r>
      <w:r w:rsidR="00877F95" w:rsidRPr="00877F95">
        <w:rPr>
          <w:rFonts w:eastAsia="Calibri"/>
          <w:b/>
          <w:sz w:val="22"/>
          <w:szCs w:val="22"/>
          <w:u w:val="single"/>
          <w:lang w:eastAsia="en-US"/>
        </w:rPr>
        <w:t>24.3.2020 od 14.00</w:t>
      </w:r>
      <w:r w:rsidR="00132BC3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bookmarkStart w:id="0" w:name="_GoBack"/>
      <w:bookmarkEnd w:id="0"/>
      <w:r w:rsidR="00877F95" w:rsidRPr="00877F95">
        <w:rPr>
          <w:rFonts w:eastAsia="Calibri"/>
          <w:b/>
          <w:sz w:val="22"/>
          <w:szCs w:val="22"/>
          <w:u w:val="single"/>
          <w:lang w:eastAsia="en-US"/>
        </w:rPr>
        <w:t>hod.</w:t>
      </w:r>
      <w:r w:rsidR="00877F95">
        <w:rPr>
          <w:rFonts w:eastAsia="Calibri"/>
          <w:sz w:val="22"/>
          <w:szCs w:val="22"/>
          <w:lang w:eastAsia="en-US"/>
        </w:rPr>
        <w:t xml:space="preserve"> </w:t>
      </w:r>
    </w:p>
    <w:p w:rsidR="005E24ED" w:rsidRPr="00F3023E" w:rsidRDefault="005E24ED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 na závěr poděkoval všem přítomným členům a jednání Komise ukončil.</w:t>
      </w:r>
    </w:p>
    <w:p w:rsidR="005E24ED" w:rsidRPr="00A96CBC" w:rsidRDefault="005E24ED" w:rsidP="005E24ED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A96CBC">
        <w:rPr>
          <w:rFonts w:eastAsia="Calibri"/>
          <w:b/>
          <w:sz w:val="22"/>
          <w:szCs w:val="22"/>
          <w:lang w:eastAsia="en-US"/>
        </w:rPr>
        <w:t>Úkoly:</w:t>
      </w:r>
    </w:p>
    <w:p w:rsidR="002C7776" w:rsidRPr="002C7776" w:rsidRDefault="002C7776" w:rsidP="002C7776">
      <w:pPr>
        <w:pStyle w:val="Odstavecseseznamem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2C7776" w:rsidRDefault="00877F95" w:rsidP="00877F95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přizvat na 6. jednání Komise dne 24.3.2020 </w:t>
      </w:r>
      <w:r w:rsidRPr="00877F95">
        <w:rPr>
          <w:rFonts w:eastAsia="Calibri"/>
          <w:sz w:val="22"/>
          <w:szCs w:val="22"/>
          <w:lang w:eastAsia="en-US"/>
        </w:rPr>
        <w:t>vedoucího</w:t>
      </w:r>
      <w:r>
        <w:rPr>
          <w:rFonts w:eastAsia="Calibri"/>
          <w:sz w:val="22"/>
          <w:szCs w:val="22"/>
          <w:lang w:eastAsia="en-US"/>
        </w:rPr>
        <w:t xml:space="preserve"> odd. grantové podpory LEG MHMP JUDr. Vladimíra </w:t>
      </w:r>
      <w:proofErr w:type="spellStart"/>
      <w:r>
        <w:rPr>
          <w:rFonts w:eastAsia="Calibri"/>
          <w:sz w:val="22"/>
          <w:szCs w:val="22"/>
          <w:lang w:eastAsia="en-US"/>
        </w:rPr>
        <w:t>Folbera</w:t>
      </w:r>
      <w:proofErr w:type="spellEnd"/>
      <w:r w:rsidR="00926E66" w:rsidRPr="008C3A49">
        <w:rPr>
          <w:rFonts w:eastAsia="Calibri"/>
          <w:sz w:val="22"/>
          <w:szCs w:val="22"/>
          <w:lang w:eastAsia="en-US"/>
        </w:rPr>
        <w:tab/>
      </w:r>
    </w:p>
    <w:p w:rsidR="00926E66" w:rsidRDefault="008C3A49" w:rsidP="002C7776">
      <w:pPr>
        <w:pStyle w:val="Odstavecseseznamem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KUC</w:t>
      </w:r>
      <w:r>
        <w:rPr>
          <w:rFonts w:eastAsia="Calibri"/>
          <w:sz w:val="22"/>
          <w:szCs w:val="22"/>
          <w:lang w:eastAsia="en-US"/>
        </w:rPr>
        <w:tab/>
      </w:r>
      <w:r w:rsidR="00926E66" w:rsidRPr="008C3A49">
        <w:rPr>
          <w:rFonts w:eastAsia="Calibri"/>
          <w:sz w:val="22"/>
          <w:szCs w:val="22"/>
          <w:lang w:eastAsia="en-US"/>
        </w:rPr>
        <w:tab/>
      </w:r>
      <w:r w:rsidR="004A4585" w:rsidRPr="008C3A49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926E66" w:rsidRPr="008C3A49">
        <w:rPr>
          <w:rFonts w:eastAsia="Calibri"/>
          <w:sz w:val="22"/>
          <w:szCs w:val="22"/>
          <w:lang w:eastAsia="en-US"/>
        </w:rPr>
        <w:t xml:space="preserve">T: </w:t>
      </w:r>
      <w:r w:rsidR="00FA4962">
        <w:rPr>
          <w:rFonts w:eastAsia="Calibri"/>
          <w:sz w:val="22"/>
          <w:szCs w:val="22"/>
          <w:lang w:eastAsia="en-US"/>
        </w:rPr>
        <w:t>24.3.2020</w:t>
      </w:r>
    </w:p>
    <w:p w:rsidR="00A1411B" w:rsidRDefault="00A1411B" w:rsidP="002C7776">
      <w:pPr>
        <w:pStyle w:val="Odstavecseseznamem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1411B" w:rsidRDefault="00A1411B" w:rsidP="00A1411B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požádat </w:t>
      </w:r>
      <w:r w:rsidR="00FA4962">
        <w:rPr>
          <w:rFonts w:eastAsia="Calibri"/>
          <w:sz w:val="22"/>
          <w:szCs w:val="22"/>
          <w:lang w:eastAsia="en-US"/>
        </w:rPr>
        <w:t>věcně příslušný odbor MHMP</w:t>
      </w:r>
      <w:r w:rsidRPr="00A1411B">
        <w:rPr>
          <w:rFonts w:eastAsia="Calibri"/>
          <w:sz w:val="22"/>
          <w:szCs w:val="22"/>
          <w:lang w:eastAsia="en-US"/>
        </w:rPr>
        <w:t>, aby se opětovně pokusil řešit problém evidence grantů s ohledem na potřeby jednotlivých grantových pracovišť</w:t>
      </w:r>
    </w:p>
    <w:p w:rsidR="00A1411B" w:rsidRDefault="00A1411B" w:rsidP="00A1411B">
      <w:pPr>
        <w:pStyle w:val="Odstavecseseznamem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T: průběžně</w:t>
      </w:r>
    </w:p>
    <w:p w:rsidR="00926E66" w:rsidRPr="00F3023E" w:rsidRDefault="00926E66" w:rsidP="00926E66">
      <w:pPr>
        <w:spacing w:after="200" w:line="276" w:lineRule="auto"/>
        <w:ind w:left="1413"/>
        <w:jc w:val="both"/>
        <w:rPr>
          <w:rFonts w:eastAsia="Calibri"/>
          <w:sz w:val="22"/>
          <w:szCs w:val="22"/>
          <w:lang w:eastAsia="en-US"/>
        </w:rPr>
      </w:pPr>
    </w:p>
    <w:p w:rsidR="00D446A0" w:rsidRDefault="00D446A0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6545B" w:rsidRDefault="0056545B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6545B" w:rsidRPr="00F3023E" w:rsidRDefault="0056545B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858AC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Iveta Jechová</w:t>
      </w:r>
    </w:p>
    <w:p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Schválil: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F12B7F" w:rsidRPr="00F3023E">
        <w:rPr>
          <w:rFonts w:eastAsia="Calibri"/>
          <w:sz w:val="22"/>
          <w:szCs w:val="22"/>
          <w:lang w:eastAsia="en-US"/>
        </w:rPr>
        <w:t>Mgr. Martin Benda</w:t>
      </w:r>
    </w:p>
    <w:p w:rsidR="00F105E0" w:rsidRDefault="00F105E0" w:rsidP="00F105E0">
      <w:pPr>
        <w:spacing w:line="320" w:lineRule="auto"/>
        <w:rPr>
          <w:sz w:val="22"/>
        </w:rPr>
      </w:pPr>
    </w:p>
    <w:p w:rsidR="0056545B" w:rsidRDefault="0056545B" w:rsidP="00F105E0">
      <w:pPr>
        <w:spacing w:line="320" w:lineRule="auto"/>
        <w:rPr>
          <w:sz w:val="22"/>
        </w:rPr>
      </w:pPr>
    </w:p>
    <w:p w:rsidR="0056545B" w:rsidRDefault="0056545B" w:rsidP="00F105E0">
      <w:pPr>
        <w:spacing w:line="320" w:lineRule="auto"/>
        <w:rPr>
          <w:sz w:val="22"/>
        </w:rPr>
      </w:pPr>
    </w:p>
    <w:p w:rsidR="0056545B" w:rsidRDefault="0056545B" w:rsidP="00F105E0">
      <w:pPr>
        <w:spacing w:line="320" w:lineRule="auto"/>
        <w:rPr>
          <w:sz w:val="22"/>
        </w:rPr>
      </w:pPr>
    </w:p>
    <w:p w:rsidR="00925B75" w:rsidRDefault="00925B75" w:rsidP="00F105E0">
      <w:pPr>
        <w:spacing w:line="320" w:lineRule="auto"/>
        <w:rPr>
          <w:sz w:val="22"/>
        </w:rPr>
      </w:pPr>
    </w:p>
    <w:p w:rsidR="00925B75" w:rsidRPr="00925B75" w:rsidRDefault="00925B75" w:rsidP="00F105E0">
      <w:pPr>
        <w:spacing w:line="320" w:lineRule="auto"/>
        <w:rPr>
          <w:b/>
          <w:sz w:val="22"/>
        </w:rPr>
      </w:pPr>
      <w:r w:rsidRPr="00925B75">
        <w:rPr>
          <w:b/>
          <w:sz w:val="22"/>
        </w:rPr>
        <w:t>Přílohy k zápisu:</w:t>
      </w:r>
    </w:p>
    <w:p w:rsidR="00925B75" w:rsidRDefault="00925B75" w:rsidP="00925B75">
      <w:pPr>
        <w:pStyle w:val="Odstavecseseznamem"/>
        <w:numPr>
          <w:ilvl w:val="0"/>
          <w:numId w:val="9"/>
        </w:numPr>
        <w:spacing w:line="320" w:lineRule="auto"/>
        <w:rPr>
          <w:sz w:val="22"/>
        </w:rPr>
      </w:pPr>
      <w:r>
        <w:rPr>
          <w:sz w:val="22"/>
        </w:rPr>
        <w:t>Přehled č. 1 žádostí o dotaci</w:t>
      </w:r>
    </w:p>
    <w:p w:rsidR="00925B75" w:rsidRDefault="00925B75" w:rsidP="00925B75">
      <w:pPr>
        <w:pStyle w:val="Odstavecseseznamem"/>
        <w:numPr>
          <w:ilvl w:val="0"/>
          <w:numId w:val="9"/>
        </w:numPr>
        <w:spacing w:line="320" w:lineRule="auto"/>
        <w:rPr>
          <w:sz w:val="22"/>
        </w:rPr>
      </w:pPr>
      <w:r>
        <w:rPr>
          <w:sz w:val="22"/>
        </w:rPr>
        <w:t>Přehled č. 2 žádostí o dotaci</w:t>
      </w:r>
    </w:p>
    <w:p w:rsidR="00925B75" w:rsidRDefault="00925B75" w:rsidP="00925B75">
      <w:pPr>
        <w:pStyle w:val="Odstavecseseznamem"/>
        <w:numPr>
          <w:ilvl w:val="0"/>
          <w:numId w:val="9"/>
        </w:numPr>
        <w:spacing w:line="320" w:lineRule="auto"/>
        <w:rPr>
          <w:sz w:val="22"/>
        </w:rPr>
      </w:pPr>
      <w:r w:rsidRPr="00925B75">
        <w:rPr>
          <w:sz w:val="22"/>
        </w:rPr>
        <w:t>Souhrnná tabulka hodnocení žádostí a dotací navržených Komisí RHMP pro udělování grantů v oblasti cestovního ruchu -  Program podpory v oblasti cestovního ruchu pro rok 2020, Opatření II</w:t>
      </w:r>
      <w:r w:rsidR="004B7B2A">
        <w:rPr>
          <w:sz w:val="22"/>
        </w:rPr>
        <w:t>.</w:t>
      </w:r>
    </w:p>
    <w:p w:rsidR="004B7B2A" w:rsidRPr="00925B75" w:rsidRDefault="004B7B2A" w:rsidP="00925B75">
      <w:pPr>
        <w:pStyle w:val="Odstavecseseznamem"/>
        <w:numPr>
          <w:ilvl w:val="0"/>
          <w:numId w:val="9"/>
        </w:numPr>
        <w:spacing w:line="320" w:lineRule="auto"/>
        <w:rPr>
          <w:sz w:val="22"/>
        </w:rPr>
      </w:pPr>
      <w:r>
        <w:rPr>
          <w:sz w:val="22"/>
        </w:rPr>
        <w:t>Průběh projednávání žádostí</w:t>
      </w:r>
    </w:p>
    <w:sectPr w:rsidR="004B7B2A" w:rsidRPr="00925B75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751" w:rsidRDefault="00DA6751" w:rsidP="00F105E0">
      <w:r>
        <w:separator/>
      </w:r>
    </w:p>
  </w:endnote>
  <w:endnote w:type="continuationSeparator" w:id="0">
    <w:p w:rsidR="00DA6751" w:rsidRDefault="00DA6751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751" w:rsidRDefault="00DA6751" w:rsidP="00F105E0">
      <w:r>
        <w:separator/>
      </w:r>
    </w:p>
  </w:footnote>
  <w:footnote w:type="continuationSeparator" w:id="0">
    <w:p w:rsidR="00DA6751" w:rsidRDefault="00DA6751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35469"/>
    <w:multiLevelType w:val="hybridMultilevel"/>
    <w:tmpl w:val="95263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E0"/>
    <w:rsid w:val="00021119"/>
    <w:rsid w:val="00022F95"/>
    <w:rsid w:val="00037B92"/>
    <w:rsid w:val="00061B0C"/>
    <w:rsid w:val="00071618"/>
    <w:rsid w:val="00071CA4"/>
    <w:rsid w:val="000921D8"/>
    <w:rsid w:val="00093023"/>
    <w:rsid w:val="000C0973"/>
    <w:rsid w:val="000D3516"/>
    <w:rsid w:val="000E79C7"/>
    <w:rsid w:val="000F3790"/>
    <w:rsid w:val="001277A5"/>
    <w:rsid w:val="00130CED"/>
    <w:rsid w:val="001321CF"/>
    <w:rsid w:val="00132BC3"/>
    <w:rsid w:val="00132F51"/>
    <w:rsid w:val="00136457"/>
    <w:rsid w:val="00141FE6"/>
    <w:rsid w:val="00146813"/>
    <w:rsid w:val="00156083"/>
    <w:rsid w:val="00196F46"/>
    <w:rsid w:val="001A104B"/>
    <w:rsid w:val="001B05C3"/>
    <w:rsid w:val="001B47E8"/>
    <w:rsid w:val="00203056"/>
    <w:rsid w:val="002104EA"/>
    <w:rsid w:val="002363D7"/>
    <w:rsid w:val="00254995"/>
    <w:rsid w:val="00281367"/>
    <w:rsid w:val="00291217"/>
    <w:rsid w:val="002969F3"/>
    <w:rsid w:val="002A5090"/>
    <w:rsid w:val="002C2D5C"/>
    <w:rsid w:val="002C7776"/>
    <w:rsid w:val="003130A7"/>
    <w:rsid w:val="0032066F"/>
    <w:rsid w:val="00321181"/>
    <w:rsid w:val="00334647"/>
    <w:rsid w:val="003362A7"/>
    <w:rsid w:val="003507D5"/>
    <w:rsid w:val="00355412"/>
    <w:rsid w:val="00362C94"/>
    <w:rsid w:val="00375095"/>
    <w:rsid w:val="00386BD4"/>
    <w:rsid w:val="00387958"/>
    <w:rsid w:val="0039717A"/>
    <w:rsid w:val="003A1852"/>
    <w:rsid w:val="003F024D"/>
    <w:rsid w:val="003F1E33"/>
    <w:rsid w:val="003F792E"/>
    <w:rsid w:val="00401F59"/>
    <w:rsid w:val="00402D5D"/>
    <w:rsid w:val="0040726B"/>
    <w:rsid w:val="0041009E"/>
    <w:rsid w:val="00430F72"/>
    <w:rsid w:val="00433EE2"/>
    <w:rsid w:val="00435144"/>
    <w:rsid w:val="00435308"/>
    <w:rsid w:val="004435E6"/>
    <w:rsid w:val="004463B9"/>
    <w:rsid w:val="004866E7"/>
    <w:rsid w:val="004A4585"/>
    <w:rsid w:val="004B3278"/>
    <w:rsid w:val="004B5DCB"/>
    <w:rsid w:val="004B7B2A"/>
    <w:rsid w:val="004D5EBF"/>
    <w:rsid w:val="004E05E4"/>
    <w:rsid w:val="0051618E"/>
    <w:rsid w:val="00525BA2"/>
    <w:rsid w:val="00544BB9"/>
    <w:rsid w:val="00554369"/>
    <w:rsid w:val="0056283B"/>
    <w:rsid w:val="0056545B"/>
    <w:rsid w:val="00572CBA"/>
    <w:rsid w:val="00583D0E"/>
    <w:rsid w:val="00584BC8"/>
    <w:rsid w:val="005858AC"/>
    <w:rsid w:val="005927C6"/>
    <w:rsid w:val="005B05AF"/>
    <w:rsid w:val="005C7D40"/>
    <w:rsid w:val="005E20BD"/>
    <w:rsid w:val="005E24ED"/>
    <w:rsid w:val="00603904"/>
    <w:rsid w:val="006175E0"/>
    <w:rsid w:val="006255D3"/>
    <w:rsid w:val="00635FDF"/>
    <w:rsid w:val="00643373"/>
    <w:rsid w:val="00652005"/>
    <w:rsid w:val="006558CC"/>
    <w:rsid w:val="00655E41"/>
    <w:rsid w:val="006674AB"/>
    <w:rsid w:val="00681F65"/>
    <w:rsid w:val="0068245C"/>
    <w:rsid w:val="006928C0"/>
    <w:rsid w:val="0069568E"/>
    <w:rsid w:val="006A28A2"/>
    <w:rsid w:val="006A4C57"/>
    <w:rsid w:val="006C2B3A"/>
    <w:rsid w:val="006C392E"/>
    <w:rsid w:val="006D6295"/>
    <w:rsid w:val="007036CE"/>
    <w:rsid w:val="00707F0C"/>
    <w:rsid w:val="0071436E"/>
    <w:rsid w:val="00722BB0"/>
    <w:rsid w:val="00732CD5"/>
    <w:rsid w:val="00736801"/>
    <w:rsid w:val="007418F0"/>
    <w:rsid w:val="007602F4"/>
    <w:rsid w:val="00762B66"/>
    <w:rsid w:val="007762F7"/>
    <w:rsid w:val="00785CF3"/>
    <w:rsid w:val="00790D2D"/>
    <w:rsid w:val="00793069"/>
    <w:rsid w:val="007B75C4"/>
    <w:rsid w:val="007D638A"/>
    <w:rsid w:val="007E40F7"/>
    <w:rsid w:val="007E567F"/>
    <w:rsid w:val="007F0093"/>
    <w:rsid w:val="00801ECD"/>
    <w:rsid w:val="008115C3"/>
    <w:rsid w:val="00821C2D"/>
    <w:rsid w:val="00823DEF"/>
    <w:rsid w:val="00825491"/>
    <w:rsid w:val="00831004"/>
    <w:rsid w:val="00845A13"/>
    <w:rsid w:val="00864B9E"/>
    <w:rsid w:val="00877F95"/>
    <w:rsid w:val="0088527B"/>
    <w:rsid w:val="0088698A"/>
    <w:rsid w:val="0089098C"/>
    <w:rsid w:val="008922F5"/>
    <w:rsid w:val="008B7AFF"/>
    <w:rsid w:val="008C3A49"/>
    <w:rsid w:val="008D2770"/>
    <w:rsid w:val="008D62AC"/>
    <w:rsid w:val="008F1A69"/>
    <w:rsid w:val="00925424"/>
    <w:rsid w:val="00925B75"/>
    <w:rsid w:val="00926E66"/>
    <w:rsid w:val="00935FBF"/>
    <w:rsid w:val="00937068"/>
    <w:rsid w:val="00943597"/>
    <w:rsid w:val="00957066"/>
    <w:rsid w:val="00971199"/>
    <w:rsid w:val="009756D5"/>
    <w:rsid w:val="00985511"/>
    <w:rsid w:val="00997ACF"/>
    <w:rsid w:val="009A193B"/>
    <w:rsid w:val="009A7C38"/>
    <w:rsid w:val="009B0F42"/>
    <w:rsid w:val="009C7E59"/>
    <w:rsid w:val="009E35BD"/>
    <w:rsid w:val="00A1103F"/>
    <w:rsid w:val="00A1411B"/>
    <w:rsid w:val="00A141D1"/>
    <w:rsid w:val="00A20ACD"/>
    <w:rsid w:val="00A246B0"/>
    <w:rsid w:val="00A24A5C"/>
    <w:rsid w:val="00A32E29"/>
    <w:rsid w:val="00A77D24"/>
    <w:rsid w:val="00A81CA2"/>
    <w:rsid w:val="00A8633E"/>
    <w:rsid w:val="00A96CBC"/>
    <w:rsid w:val="00AD2F27"/>
    <w:rsid w:val="00AF2B63"/>
    <w:rsid w:val="00AF3DBA"/>
    <w:rsid w:val="00B23842"/>
    <w:rsid w:val="00B30B4A"/>
    <w:rsid w:val="00B6340C"/>
    <w:rsid w:val="00BA1FA8"/>
    <w:rsid w:val="00BB60BB"/>
    <w:rsid w:val="00BB6392"/>
    <w:rsid w:val="00C20C2C"/>
    <w:rsid w:val="00C26FC1"/>
    <w:rsid w:val="00C41101"/>
    <w:rsid w:val="00C619DF"/>
    <w:rsid w:val="00C7236E"/>
    <w:rsid w:val="00C819FE"/>
    <w:rsid w:val="00C94A8E"/>
    <w:rsid w:val="00C95608"/>
    <w:rsid w:val="00C9692B"/>
    <w:rsid w:val="00CC515D"/>
    <w:rsid w:val="00CF6995"/>
    <w:rsid w:val="00D01901"/>
    <w:rsid w:val="00D3472B"/>
    <w:rsid w:val="00D40C3A"/>
    <w:rsid w:val="00D4286D"/>
    <w:rsid w:val="00D446A0"/>
    <w:rsid w:val="00D45968"/>
    <w:rsid w:val="00D572E5"/>
    <w:rsid w:val="00D836BC"/>
    <w:rsid w:val="00D937D1"/>
    <w:rsid w:val="00DA6751"/>
    <w:rsid w:val="00DB079E"/>
    <w:rsid w:val="00DB729F"/>
    <w:rsid w:val="00DF68FE"/>
    <w:rsid w:val="00E37E98"/>
    <w:rsid w:val="00E40964"/>
    <w:rsid w:val="00EA3AEA"/>
    <w:rsid w:val="00EA60E4"/>
    <w:rsid w:val="00EA78B8"/>
    <w:rsid w:val="00EB6DF6"/>
    <w:rsid w:val="00ED2B1E"/>
    <w:rsid w:val="00ED72B0"/>
    <w:rsid w:val="00ED7618"/>
    <w:rsid w:val="00EE247C"/>
    <w:rsid w:val="00EE3182"/>
    <w:rsid w:val="00EE6999"/>
    <w:rsid w:val="00F015AA"/>
    <w:rsid w:val="00F105E0"/>
    <w:rsid w:val="00F12B7F"/>
    <w:rsid w:val="00F3023E"/>
    <w:rsid w:val="00F36EF8"/>
    <w:rsid w:val="00F60D37"/>
    <w:rsid w:val="00F979D3"/>
    <w:rsid w:val="00FA0011"/>
    <w:rsid w:val="00FA105E"/>
    <w:rsid w:val="00FA29EB"/>
    <w:rsid w:val="00FA3AE3"/>
    <w:rsid w:val="00FA4962"/>
    <w:rsid w:val="00FB2F41"/>
    <w:rsid w:val="00FB54DE"/>
    <w:rsid w:val="00FC2C1F"/>
    <w:rsid w:val="00FC449F"/>
    <w:rsid w:val="00FC7B39"/>
    <w:rsid w:val="00FE698F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13A3F9"/>
  <w15:docId w15:val="{2D0BCF37-B6DB-48DC-9292-0E36DD9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A60E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0863-6F66-4DD4-B5A4-54B8940C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Benda Martin (ZHMP)</cp:lastModifiedBy>
  <cp:revision>2</cp:revision>
  <cp:lastPrinted>2019-12-17T11:01:00Z</cp:lastPrinted>
  <dcterms:created xsi:type="dcterms:W3CDTF">2019-12-27T11:51:00Z</dcterms:created>
  <dcterms:modified xsi:type="dcterms:W3CDTF">2019-12-27T11:51:00Z</dcterms:modified>
</cp:coreProperties>
</file>