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Zápis z 9. jednání Komise Rady hl. m. Prahy pro školskou infrastrukturu ze dne 14.4. 2022</w:t>
      </w:r>
    </w:p>
    <w:p w:rsidR="00000000" w:rsidDel="00000000" w:rsidP="00000000" w:rsidRDefault="00000000" w:rsidRPr="00000000" w14:paraId="0000000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color w:val="414141"/>
          <w:sz w:val="24"/>
          <w:szCs w:val="24"/>
        </w:rPr>
      </w:pPr>
      <w:r w:rsidDel="00000000" w:rsidR="00000000" w:rsidRPr="00000000">
        <w:rPr>
          <w:rFonts w:ascii="Calibri" w:cs="Calibri" w:eastAsia="Calibri" w:hAnsi="Calibri"/>
          <w:b w:val="1"/>
          <w:sz w:val="24"/>
          <w:szCs w:val="24"/>
          <w:rtl w:val="0"/>
        </w:rPr>
        <w:t xml:space="preserve">Přítomní členové:</w:t>
      </w: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rFonts w:ascii="Calibri" w:cs="Calibri" w:eastAsia="Calibri" w:hAnsi="Calibri"/>
          <w:sz w:val="24"/>
          <w:szCs w:val="24"/>
          <w:rtl w:val="0"/>
        </w:rPr>
        <w:t xml:space="preserve">PhDr. Mgr. Vít Šimral, Ph.D. et Ph.D., Ph.D., RNDr.</w:t>
      </w:r>
      <w:r w:rsidDel="00000000" w:rsidR="00000000" w:rsidRPr="00000000">
        <w:rPr>
          <w:sz w:val="24"/>
          <w:szCs w:val="24"/>
          <w:rtl w:val="0"/>
        </w:rPr>
        <w:t xml:space="preserve"> Marcela Plesníková, </w:t>
      </w:r>
      <w:r w:rsidDel="00000000" w:rsidR="00000000" w:rsidRPr="00000000">
        <w:rPr>
          <w:sz w:val="24"/>
          <w:szCs w:val="24"/>
          <w:rtl w:val="0"/>
        </w:rPr>
        <w:t xml:space="preserve">RNDr. Jana Plamínková, PhDr. Pavel Sitek, Ph.D., Mgr. Pavel Dvořák, Ing. Patrik Paneš</w:t>
      </w: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rtl w:val="0"/>
        </w:rPr>
        <w:t xml:space="preserve">Nepřítomní členové:</w:t>
      </w:r>
      <w:r w:rsidDel="00000000" w:rsidR="00000000" w:rsidRPr="00000000">
        <w:rPr>
          <w:sz w:val="24"/>
          <w:szCs w:val="24"/>
          <w:rtl w:val="0"/>
        </w:rPr>
        <w:t xml:space="preserve"> Ph.D., Mgr. Zuzana Ujhelyiová, Ing. Mariana Čapková , Ing. arch. Petr Hlaváček, Mgr. Martin Červinka, Mgr. Zuzanna Bedřichová, Jana Kabelová, </w:t>
      </w:r>
      <w:r w:rsidDel="00000000" w:rsidR="00000000" w:rsidRPr="00000000">
        <w:rPr>
          <w:sz w:val="24"/>
          <w:szCs w:val="24"/>
          <w:rtl w:val="0"/>
        </w:rPr>
        <w:t xml:space="preserve">Ing. František Nikl, Mgr. Tomáš Šídlo, Jana Kabelová, MPhil, </w:t>
      </w:r>
      <w:r w:rsidDel="00000000" w:rsidR="00000000" w:rsidRPr="00000000">
        <w:rPr>
          <w:color w:val="414141"/>
          <w:sz w:val="24"/>
          <w:szCs w:val="24"/>
          <w:highlight w:val="white"/>
          <w:rtl w:val="0"/>
        </w:rPr>
        <w:t xml:space="preserve">Ing. arch. Hana Peckelová</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Hosté: </w:t>
      </w:r>
      <w:r w:rsidDel="00000000" w:rsidR="00000000" w:rsidRPr="00000000">
        <w:rPr>
          <w:sz w:val="24"/>
          <w:szCs w:val="24"/>
          <w:rtl w:val="0"/>
        </w:rPr>
        <w:t xml:space="preserve">David Roznětinský, Lenka Němcová</w:t>
      </w: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Tajemnice: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Barbora Stárková, MSc</w:t>
      </w: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rFonts w:ascii="Calibri" w:cs="Calibri" w:eastAsia="Calibri" w:hAnsi="Calibri"/>
          <w:sz w:val="24"/>
          <w:szCs w:val="24"/>
          <w:rtl w:val="0"/>
        </w:rPr>
        <w:t xml:space="preserve">Jednání Komise hl. města Prahy pro školskou infrastrukturu bylo zahájeno panem radním Šimralem, předsedou komise, v 16:</w:t>
      </w:r>
      <w:r w:rsidDel="00000000" w:rsidR="00000000" w:rsidRPr="00000000">
        <w:rPr>
          <w:sz w:val="24"/>
          <w:szCs w:val="24"/>
          <w:rtl w:val="0"/>
        </w:rPr>
        <w:t xml:space="preserve">10</w:t>
      </w:r>
      <w:r w:rsidDel="00000000" w:rsidR="00000000" w:rsidRPr="00000000">
        <w:rPr>
          <w:rFonts w:ascii="Calibri" w:cs="Calibri" w:eastAsia="Calibri" w:hAnsi="Calibri"/>
          <w:sz w:val="24"/>
          <w:szCs w:val="24"/>
          <w:rtl w:val="0"/>
        </w:rPr>
        <w:t xml:space="preserve"> hod. Pan radní přivítal všechny přítomné</w:t>
      </w:r>
      <w:r w:rsidDel="00000000" w:rsidR="00000000" w:rsidRPr="00000000">
        <w:rPr>
          <w:sz w:val="24"/>
          <w:szCs w:val="24"/>
          <w:rtl w:val="0"/>
        </w:rPr>
        <w:t xml:space="preserve">, shledal, že komise není usnášeníschopná a poslouží spíše k diskuzi nad tématy. S</w:t>
      </w:r>
      <w:r w:rsidDel="00000000" w:rsidR="00000000" w:rsidRPr="00000000">
        <w:rPr>
          <w:rFonts w:ascii="Calibri" w:cs="Calibri" w:eastAsia="Calibri" w:hAnsi="Calibri"/>
          <w:sz w:val="24"/>
          <w:szCs w:val="24"/>
          <w:rtl w:val="0"/>
        </w:rPr>
        <w:t xml:space="preserve">eznámil přítomné s programem jednání.</w:t>
      </w: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Agenda: </w:t>
      </w:r>
    </w:p>
    <w:p w:rsidR="00000000" w:rsidDel="00000000" w:rsidP="00000000" w:rsidRDefault="00000000" w:rsidRPr="00000000" w14:paraId="00000010">
      <w:pPr>
        <w:spacing w:after="0" w:line="240" w:lineRule="auto"/>
        <w:ind w:left="1080" w:hanging="360"/>
        <w:jc w:val="both"/>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Informace o postupu práce na Plánu rozvoje školské soustavy v Praze</w:t>
      </w:r>
    </w:p>
    <w:p w:rsidR="00000000" w:rsidDel="00000000" w:rsidP="00000000" w:rsidRDefault="00000000" w:rsidRPr="00000000" w14:paraId="00000011">
      <w:pPr>
        <w:spacing w:after="0" w:line="240" w:lineRule="auto"/>
        <w:ind w:left="1080" w:hanging="360"/>
        <w:jc w:val="both"/>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Memoranda HMP s MČ</w:t>
      </w:r>
    </w:p>
    <w:p w:rsidR="00000000" w:rsidDel="00000000" w:rsidP="00000000" w:rsidRDefault="00000000" w:rsidRPr="00000000" w14:paraId="00000012">
      <w:pPr>
        <w:spacing w:after="0" w:line="240" w:lineRule="auto"/>
        <w:ind w:left="1080" w:hanging="360"/>
        <w:jc w:val="both"/>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Žádosti o investiční dotace v oblasti školství 2022</w:t>
      </w:r>
    </w:p>
    <w:p w:rsidR="00000000" w:rsidDel="00000000" w:rsidP="00000000" w:rsidRDefault="00000000" w:rsidRPr="00000000" w14:paraId="00000013">
      <w:pPr>
        <w:spacing w:after="240" w:line="240" w:lineRule="auto"/>
        <w:ind w:left="1080" w:hanging="360"/>
        <w:jc w:val="both"/>
        <w:rPr>
          <w:rFonts w:ascii="Calibri" w:cs="Calibri" w:eastAsia="Calibri" w:hAnsi="Calibri"/>
          <w:sz w:val="24"/>
          <w:szCs w:val="24"/>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Různé</w:t>
      </w: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rFonts w:ascii="Calibri" w:cs="Calibri" w:eastAsia="Calibri" w:hAnsi="Calibri"/>
          <w:sz w:val="24"/>
          <w:szCs w:val="24"/>
          <w:rtl w:val="0"/>
        </w:rPr>
        <w:t xml:space="preserve">Bylo přistoupeno k prvnímu a d</w:t>
      </w:r>
      <w:r w:rsidDel="00000000" w:rsidR="00000000" w:rsidRPr="00000000">
        <w:rPr>
          <w:sz w:val="24"/>
          <w:szCs w:val="24"/>
          <w:rtl w:val="0"/>
        </w:rPr>
        <w:t xml:space="preserve">ruhému </w:t>
      </w:r>
      <w:r w:rsidDel="00000000" w:rsidR="00000000" w:rsidRPr="00000000">
        <w:rPr>
          <w:rFonts w:ascii="Calibri" w:cs="Calibri" w:eastAsia="Calibri" w:hAnsi="Calibri"/>
          <w:sz w:val="24"/>
          <w:szCs w:val="24"/>
          <w:rtl w:val="0"/>
        </w:rPr>
        <w:t xml:space="preserve">bodu jednání, které se sloučilo. </w:t>
      </w:r>
      <w:r w:rsidDel="00000000" w:rsidR="00000000" w:rsidRPr="00000000">
        <w:rPr>
          <w:sz w:val="24"/>
          <w:szCs w:val="24"/>
          <w:rtl w:val="0"/>
        </w:rPr>
        <w:t xml:space="preserve">P</w:t>
      </w:r>
      <w:r w:rsidDel="00000000" w:rsidR="00000000" w:rsidRPr="00000000">
        <w:rPr>
          <w:rFonts w:ascii="Calibri" w:cs="Calibri" w:eastAsia="Calibri" w:hAnsi="Calibri"/>
          <w:sz w:val="24"/>
          <w:szCs w:val="24"/>
          <w:rtl w:val="0"/>
        </w:rPr>
        <w:t xml:space="preserve">an radní představil Strategii rozvoj</w:t>
      </w:r>
      <w:r w:rsidDel="00000000" w:rsidR="00000000" w:rsidRPr="00000000">
        <w:rPr>
          <w:sz w:val="24"/>
          <w:szCs w:val="24"/>
          <w:rtl w:val="0"/>
        </w:rPr>
        <w:t xml:space="preserve">e školství a seznámil komisi s dalším postupem. V tuto chvíli jsou prognózy naplánovaný do konce září a proto by měla být snaha od MHMP již pomáhat MČ, které jsou nyní připravené, aby začaly stavět. Pan radní nadnesl otázku, jak přistupovat k </w:t>
      </w:r>
      <w:r w:rsidDel="00000000" w:rsidR="00000000" w:rsidRPr="00000000">
        <w:rPr>
          <w:sz w:val="24"/>
          <w:szCs w:val="24"/>
          <w:rtl w:val="0"/>
        </w:rPr>
        <w:t xml:space="preserve">memorandům</w:t>
      </w:r>
      <w:r w:rsidDel="00000000" w:rsidR="00000000" w:rsidRPr="00000000">
        <w:rPr>
          <w:sz w:val="24"/>
          <w:szCs w:val="24"/>
          <w:rtl w:val="0"/>
        </w:rPr>
        <w:t xml:space="preserve"> a financováním škol v městských částech. Dle paní ředitelky Němcové by se mělo hodnotit zejména dle stavební připravenosti, jelikož obě možnosti zvětší kapacity, což je to podstatné. Pan Sitek se přimlouvá také za hodnocení primárně stavební připravenosti. Dle pana ředitele Paneše je důležité zjistit, kdo je tady investorem - pokud platí MHMP, mělo by také stavět, aby to mělo pod kontrolou. Rekonstrukce by měly být pod kontrolou MČ, jelikož mají tyto objekty svěřené ve své správě. Tyto body jednání byly ukončené shrnutím, že se tedy bude jako kritérium brát výše investice MHMP, velikost rozpočtu MČ,  a stavební připravenosti.</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sz w:val="24"/>
          <w:szCs w:val="24"/>
        </w:rPr>
      </w:pPr>
      <w:r w:rsidDel="00000000" w:rsidR="00000000" w:rsidRPr="00000000">
        <w:rPr>
          <w:sz w:val="24"/>
          <w:szCs w:val="24"/>
          <w:rtl w:val="0"/>
        </w:rPr>
        <w:t xml:space="preserve">Přistoupilo se k dalšímu bodu jednání a to žádosti o investiční dotace od městských částí. Dvě žádosti od městských částí (MČ P9, MČ P10) jsou dimenzovány do několika let dopředu a daná výše není potřeba k financování tento rok. Zde se navrhlo řešení tento rok převést pouze peníze, které se stihnout proinvestovat v letošním roce a tím pádem podpořit více projektů. Pan radní tedy představil další projekty. Největší je žádost od MČ Praha 13 na zafinancování projektové dokumentace na ZŠ Západní Město za cca 37 milionu Kč. Dále je projektová příprava Prahy Březiněves za 12,5 milionu Kč a výstavba modulové školy reagující na současnou situaci s uprchlíky v Dolních Počernicích (MČ Praha 22). Poslední dvě žádosti se netýkají přímého financování projektu. MČ Praha Řeporyje žádá o nápomoc ve směně pozemku. Zde by to šlo pravděpodobně z rozpočtu HOM a z naší strana by byla spíše legislativní a administrativní podpora. Druhá žádost se týká kontejnerové školy v MČ Praha Velká Chuchle, kde pan starosta nabídl možnost znovuotevření této školy, která je zakonzervovaná. Zde by z naší strany byla potřeba finanční podpora, ale hlavně vyřešení provozu školy.</w:t>
      </w:r>
    </w:p>
    <w:p w:rsidR="00000000" w:rsidDel="00000000" w:rsidP="00000000" w:rsidRDefault="00000000" w:rsidRPr="00000000" w14:paraId="0000001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sz w:val="24"/>
          <w:szCs w:val="24"/>
        </w:rPr>
      </w:pPr>
      <w:r w:rsidDel="00000000" w:rsidR="00000000" w:rsidRPr="00000000">
        <w:rPr>
          <w:sz w:val="24"/>
          <w:szCs w:val="24"/>
          <w:rtl w:val="0"/>
        </w:rPr>
        <w:t xml:space="preserve">Pan ředitel Paneš se vyjádřil kladně k postupnému financování, spíše než k financování v jednom roce. Pan ředitel upozorňuje na to, že městské části mají velké obnosy financí, které nejsou proinvestované. Prostředky z rezervy pro MČ v invetsiční části rozpočtu je rozdělováno dle pravidel, kdy podmínkou pro financování je stavební povolení. Prostředky by tedy spíše měly mířit na projekty se stavebním povolením v takové sumě, která se s nejvyšší pravděpodobností podaří v letošním roce proinvestovat. </w:t>
      </w:r>
    </w:p>
    <w:p w:rsidR="00000000" w:rsidDel="00000000" w:rsidP="00000000" w:rsidRDefault="00000000" w:rsidRPr="00000000" w14:paraId="0000001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sz w:val="24"/>
          <w:szCs w:val="24"/>
        </w:rPr>
      </w:pPr>
      <w:r w:rsidDel="00000000" w:rsidR="00000000" w:rsidRPr="00000000">
        <w:rPr>
          <w:sz w:val="24"/>
          <w:szCs w:val="24"/>
          <w:rtl w:val="0"/>
        </w:rPr>
        <w:t xml:space="preserve">Pan Paneš potvrzuje, že v souvislosti s Ukrajinou se uvažuje nad vytvořením nového financování na řešení problémů kapacit, např. financování modulových škol. O těchto školách by se rozhodlo mimo rezervu pro ZŠ. V tuto chvíli to vypadá, že zbývá 200 mil. Kč na investice na letošní rok a zbylo by 100 mil. Kč v rezervě. Pan ředitel zažádal o projednání této situace s panem náměstkem Vyhnánkem. </w:t>
      </w:r>
    </w:p>
    <w:p w:rsidR="00000000" w:rsidDel="00000000" w:rsidP="00000000" w:rsidRDefault="00000000" w:rsidRPr="00000000" w14:paraId="0000001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Jednání Komise Rady hl. města Prahy pro školskou infrastrukturu bylo ukončeno v 1</w:t>
      </w:r>
      <w:r w:rsidDel="00000000" w:rsidR="00000000" w:rsidRPr="00000000">
        <w:rPr>
          <w:sz w:val="24"/>
          <w:szCs w:val="24"/>
          <w:rtl w:val="0"/>
        </w:rPr>
        <w:t xml:space="preserve">6</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38</w:t>
      </w:r>
      <w:r w:rsidDel="00000000" w:rsidR="00000000" w:rsidRPr="00000000">
        <w:rPr>
          <w:rFonts w:ascii="Calibri" w:cs="Calibri" w:eastAsia="Calibri" w:hAnsi="Calibri"/>
          <w:sz w:val="24"/>
          <w:szCs w:val="24"/>
          <w:rtl w:val="0"/>
        </w:rPr>
        <w:t xml:space="preserve"> hod.</w:t>
      </w:r>
    </w:p>
    <w:p w:rsidR="00000000" w:rsidDel="00000000" w:rsidP="00000000" w:rsidRDefault="00000000" w:rsidRPr="00000000" w14:paraId="0000001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Calibri" w:cs="Calibri" w:eastAsia="Calibri" w:hAnsi="Calibri"/>
          <w:sz w:val="24"/>
          <w:szCs w:val="24"/>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p w:rsidR="00000000" w:rsidDel="00000000" w:rsidP="00000000" w:rsidRDefault="00000000" w:rsidRPr="00000000" w14:paraId="0000002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w:t>
              <w:tab/>
              <w:tab/>
              <w:tab/>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PhDr. Mgr. Vít Šimral, Ph.D. et Ph.D.</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předseda komise</w:t>
            </w:r>
          </w:p>
          <w:p w:rsidR="00000000" w:rsidDel="00000000" w:rsidP="00000000" w:rsidRDefault="00000000" w:rsidRPr="00000000" w14:paraId="00000025">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w:t>
              <w:tab/>
              <w:tab/>
              <w:tab/>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Mgr. Pavel Dvořák</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ověřovatel zápisu</w:t>
            </w:r>
          </w:p>
          <w:p w:rsidR="00000000" w:rsidDel="00000000" w:rsidP="00000000" w:rsidRDefault="00000000" w:rsidRPr="00000000" w14:paraId="00000029">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sz w:val="24"/>
                <w:szCs w:val="24"/>
                <w:rtl w:val="0"/>
              </w:rPr>
              <w:t xml:space="preserve">Barbora Stárková, MSc</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tajemnice komise</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HLAVNÍ MĚSTO PRAHA</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-274760</wp:posOffset>
          </wp:positionV>
          <wp:extent cx="793107" cy="787498"/>
          <wp:effectExtent b="0" l="0" r="0" t="0"/>
          <wp:wrapSquare wrapText="bothSides" distB="0" distT="0" distL="114300" distR="114300"/>
          <wp:docPr descr="~OBD0CF" id="2" name="image1.png"/>
          <a:graphic>
            <a:graphicData uri="http://schemas.openxmlformats.org/drawingml/2006/picture">
              <pic:pic>
                <pic:nvPicPr>
                  <pic:cNvPr descr="~OBD0CF" id="0" name="image1.png"/>
                  <pic:cNvPicPr preferRelativeResize="0"/>
                </pic:nvPicPr>
                <pic:blipFill>
                  <a:blip r:embed="rId1"/>
                  <a:srcRect b="0" l="0" r="0" t="0"/>
                  <a:stretch>
                    <a:fillRect/>
                  </a:stretch>
                </pic:blipFill>
                <pic:spPr>
                  <a:xfrm>
                    <a:off x="0" y="0"/>
                    <a:ext cx="793107" cy="787498"/>
                  </a:xfrm>
                  <a:prstGeom prst="rect"/>
                  <a:ln/>
                </pic:spPr>
              </pic:pic>
            </a:graphicData>
          </a:graphic>
        </wp:anchor>
      </w:drawing>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Komise Rady hl. m. Prahy pro školskou infrastrukturu</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73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Mkatabulky">
    <w:name w:val="Table Grid"/>
    <w:basedOn w:val="Normlntabulka"/>
    <w:uiPriority w:val="39"/>
    <w:rsid w:val="00C36FF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Zhlav">
    <w:name w:val="header"/>
    <w:basedOn w:val="Normln"/>
    <w:link w:val="ZhlavChar"/>
    <w:uiPriority w:val="99"/>
    <w:unhideWhenUsed w:val="1"/>
    <w:rsid w:val="00021FBE"/>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021FBE"/>
  </w:style>
  <w:style w:type="paragraph" w:styleId="Zpat">
    <w:name w:val="footer"/>
    <w:basedOn w:val="Normln"/>
    <w:link w:val="ZpatChar"/>
    <w:uiPriority w:val="99"/>
    <w:unhideWhenUsed w:val="1"/>
    <w:rsid w:val="00021FBE"/>
    <w:pPr>
      <w:tabs>
        <w:tab w:val="center" w:pos="4536"/>
        <w:tab w:val="right" w:pos="9072"/>
      </w:tabs>
      <w:spacing w:after="0" w:line="240" w:lineRule="auto"/>
    </w:pPr>
  </w:style>
  <w:style w:type="character" w:styleId="ZpatChar" w:customStyle="1">
    <w:name w:val="Zápatí Char"/>
    <w:basedOn w:val="Standardnpsmoodstavce"/>
    <w:link w:val="Zpat"/>
    <w:uiPriority w:val="99"/>
    <w:rsid w:val="00021FBE"/>
  </w:style>
  <w:style w:type="paragraph" w:styleId="Textbubliny">
    <w:name w:val="Balloon Text"/>
    <w:basedOn w:val="Normln"/>
    <w:link w:val="TextbublinyChar"/>
    <w:uiPriority w:val="99"/>
    <w:semiHidden w:val="1"/>
    <w:unhideWhenUsed w:val="1"/>
    <w:rsid w:val="00143DD6"/>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143DD6"/>
    <w:rPr>
      <w:rFonts w:ascii="Segoe UI" w:cs="Segoe UI" w:hAnsi="Segoe UI"/>
      <w:sz w:val="18"/>
      <w:szCs w:val="18"/>
    </w:rPr>
  </w:style>
  <w:style w:type="paragraph" w:styleId="Odstavecseseznamem">
    <w:name w:val="List Paragraph"/>
    <w:basedOn w:val="Normln"/>
    <w:uiPriority w:val="34"/>
    <w:qFormat w:val="1"/>
    <w:rsid w:val="007B5BE5"/>
    <w:pPr>
      <w:spacing w:after="200" w:line="276" w:lineRule="auto"/>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F73Xx6+hWfywsrSH2YDxRA7UQ==">AMUW2mUgofz8jccb/3hOMbANeAVOdNDQvOPse/tw0ZiN41LshuXCDdr39B8y/ouGl/ViV0LbkzMr0+u76JKnjX3I82/iZcXmoZMMkw4iX2pd1KkuiCaT5rs=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2021-05-21T08:09:00Z</dcterms:created>
  <dc:creator>Němcová Lucie (MHMP, SE6)</dc:creator>
</cp:coreProperties>
</file>