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7F" w:rsidRPr="00CA5C8B" w:rsidRDefault="00934F7F" w:rsidP="00B20473">
      <w:pPr>
        <w:pStyle w:val="Zkladntextodsazen"/>
        <w:tabs>
          <w:tab w:val="clear" w:pos="0"/>
        </w:tabs>
        <w:spacing w:before="0" w:after="0"/>
        <w:rPr>
          <w:b/>
          <w:bCs/>
          <w:sz w:val="28"/>
          <w:szCs w:val="28"/>
          <w:u w:val="single"/>
        </w:rPr>
      </w:pPr>
      <w:r w:rsidRPr="00CA5C8B">
        <w:rPr>
          <w:b/>
          <w:bCs/>
          <w:sz w:val="28"/>
          <w:szCs w:val="28"/>
          <w:u w:val="single"/>
        </w:rPr>
        <w:t>Přehled zakázaných veřejných sh</w:t>
      </w:r>
      <w:r w:rsidR="00B20473" w:rsidRPr="00CA5C8B">
        <w:rPr>
          <w:b/>
          <w:bCs/>
          <w:sz w:val="28"/>
          <w:szCs w:val="28"/>
          <w:u w:val="single"/>
        </w:rPr>
        <w:t xml:space="preserve">romáždění na území </w:t>
      </w:r>
      <w:r w:rsidRPr="00CA5C8B">
        <w:rPr>
          <w:b/>
          <w:bCs/>
          <w:sz w:val="28"/>
          <w:szCs w:val="28"/>
          <w:u w:val="single"/>
        </w:rPr>
        <w:t>hlavního města Prahy</w:t>
      </w:r>
    </w:p>
    <w:p w:rsidR="00934F7F" w:rsidRDefault="00934F7F">
      <w:pPr>
        <w:pStyle w:val="Nadpis1"/>
        <w:rPr>
          <w:rFonts w:ascii="Times New Roman" w:hAnsi="Times New Roman" w:cs="Times New Roman"/>
        </w:rPr>
      </w:pPr>
    </w:p>
    <w:p w:rsidR="00B20473" w:rsidRPr="00B20473" w:rsidRDefault="00B20473" w:rsidP="00B20473"/>
    <w:p w:rsidR="00934F7F" w:rsidRPr="00B20473" w:rsidRDefault="00934F7F">
      <w:pPr>
        <w:tabs>
          <w:tab w:val="left" w:pos="0"/>
        </w:tabs>
      </w:pPr>
    </w:p>
    <w:tbl>
      <w:tblPr>
        <w:tblW w:w="9072" w:type="dxa"/>
        <w:tblInd w:w="-1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127"/>
        <w:gridCol w:w="1842"/>
        <w:gridCol w:w="1741"/>
        <w:gridCol w:w="527"/>
      </w:tblGrid>
      <w:tr w:rsidR="00934F7F" w:rsidRPr="00B20473" w:rsidTr="00093093">
        <w:trPr>
          <w:trHeight w:val="662"/>
          <w:tblHeader/>
        </w:trPr>
        <w:tc>
          <w:tcPr>
            <w:tcW w:w="709" w:type="dxa"/>
          </w:tcPr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>Den</w:t>
            </w:r>
          </w:p>
        </w:tc>
        <w:tc>
          <w:tcPr>
            <w:tcW w:w="2126" w:type="dxa"/>
          </w:tcPr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 xml:space="preserve">Místo a doba konání </w:t>
            </w:r>
          </w:p>
        </w:tc>
        <w:tc>
          <w:tcPr>
            <w:tcW w:w="2127" w:type="dxa"/>
          </w:tcPr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>Oznámený účel</w:t>
            </w:r>
          </w:p>
        </w:tc>
        <w:tc>
          <w:tcPr>
            <w:tcW w:w="1842" w:type="dxa"/>
          </w:tcPr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gramStart"/>
            <w:r w:rsidRPr="00093093">
              <w:rPr>
                <w:bCs/>
                <w:sz w:val="22"/>
                <w:szCs w:val="22"/>
              </w:rPr>
              <w:t>Svolavatel a  den</w:t>
            </w:r>
            <w:proofErr w:type="gramEnd"/>
            <w:r w:rsidRPr="00093093">
              <w:rPr>
                <w:bCs/>
                <w:sz w:val="22"/>
                <w:szCs w:val="22"/>
              </w:rPr>
              <w:t xml:space="preserve"> oznámení</w:t>
            </w:r>
          </w:p>
        </w:tc>
        <w:tc>
          <w:tcPr>
            <w:tcW w:w="1741" w:type="dxa"/>
          </w:tcPr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>Počet účastníků/</w:t>
            </w:r>
          </w:p>
          <w:p w:rsidR="00934F7F" w:rsidRPr="00093093" w:rsidRDefault="00934F7F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>pořadatelů</w:t>
            </w:r>
          </w:p>
        </w:tc>
        <w:tc>
          <w:tcPr>
            <w:tcW w:w="527" w:type="dxa"/>
          </w:tcPr>
          <w:p w:rsidR="00934F7F" w:rsidRPr="00093093" w:rsidRDefault="00B20473" w:rsidP="007450D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93093">
              <w:rPr>
                <w:bCs/>
                <w:sz w:val="22"/>
                <w:szCs w:val="22"/>
              </w:rPr>
              <w:t>MČ</w:t>
            </w:r>
          </w:p>
        </w:tc>
      </w:tr>
    </w:tbl>
    <w:p w:rsidR="00B20473" w:rsidRDefault="00B20473" w:rsidP="00B20473">
      <w:pPr>
        <w:pStyle w:val="Zhlav"/>
        <w:tabs>
          <w:tab w:val="clear" w:pos="4536"/>
          <w:tab w:val="clear" w:pos="9072"/>
        </w:tabs>
        <w:jc w:val="both"/>
        <w:rPr>
          <w:b/>
          <w:bCs/>
        </w:rPr>
      </w:pPr>
    </w:p>
    <w:p w:rsidR="007450D5" w:rsidRPr="00B20473" w:rsidRDefault="00B20473" w:rsidP="00B20473">
      <w:pPr>
        <w:pStyle w:val="Zhlav"/>
        <w:tabs>
          <w:tab w:val="clear" w:pos="4536"/>
          <w:tab w:val="clear" w:pos="9072"/>
        </w:tabs>
        <w:jc w:val="center"/>
        <w:rPr>
          <w:b/>
          <w:bCs/>
          <w:i/>
          <w:sz w:val="22"/>
          <w:szCs w:val="22"/>
        </w:rPr>
      </w:pPr>
      <w:r w:rsidRPr="00B20473">
        <w:rPr>
          <w:b/>
          <w:bCs/>
          <w:i/>
          <w:sz w:val="22"/>
          <w:szCs w:val="22"/>
        </w:rPr>
        <w:t>Magistrát hl. m. Prahy nevydal žádné rozhodnutí, kterým by zakázal oznámené shromáždění</w:t>
      </w:r>
    </w:p>
    <w:p w:rsidR="00A43EDD" w:rsidRPr="00B20473" w:rsidRDefault="00A43EDD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</w:p>
    <w:p w:rsidR="00A43EDD" w:rsidRDefault="00A43ED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0"/>
        </w:rPr>
      </w:pPr>
    </w:p>
    <w:p w:rsidR="00A43EDD" w:rsidRDefault="00A43EDD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0"/>
        </w:rPr>
      </w:pPr>
    </w:p>
    <w:p w:rsidR="00A43EDD" w:rsidRDefault="00A43EDD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b/>
          <w:bCs/>
          <w:szCs w:val="20"/>
        </w:rPr>
      </w:pPr>
    </w:p>
    <w:p w:rsidR="00093093" w:rsidRDefault="00093093">
      <w:pPr>
        <w:pStyle w:val="Zhlav"/>
        <w:tabs>
          <w:tab w:val="clear" w:pos="4536"/>
          <w:tab w:val="clear" w:pos="9072"/>
        </w:tabs>
        <w:jc w:val="center"/>
        <w:rPr>
          <w:b/>
          <w:bCs/>
          <w:szCs w:val="20"/>
        </w:rPr>
      </w:pPr>
    </w:p>
    <w:p w:rsidR="00934F7F" w:rsidRDefault="00934F7F" w:rsidP="007450D5">
      <w:pPr>
        <w:pStyle w:val="Zhlav"/>
        <w:tabs>
          <w:tab w:val="clear" w:pos="4536"/>
          <w:tab w:val="clear" w:pos="9072"/>
        </w:tabs>
        <w:jc w:val="center"/>
        <w:rPr>
          <w:b/>
          <w:bCs/>
          <w:i/>
          <w:iCs/>
          <w:szCs w:val="20"/>
        </w:rPr>
      </w:pPr>
    </w:p>
    <w:p w:rsidR="00A43EDD" w:rsidRPr="00B20473" w:rsidRDefault="00B20473" w:rsidP="00B20473">
      <w:pPr>
        <w:pStyle w:val="Zhlav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B20473">
        <w:rPr>
          <w:b/>
          <w:bCs/>
          <w:iCs/>
          <w:szCs w:val="20"/>
        </w:rPr>
        <w:t>P</w:t>
      </w:r>
      <w:r w:rsidR="007450D5" w:rsidRPr="00B20473">
        <w:rPr>
          <w:b/>
          <w:bCs/>
          <w:iCs/>
          <w:szCs w:val="20"/>
        </w:rPr>
        <w:t xml:space="preserve">odle </w:t>
      </w:r>
      <w:r w:rsidR="00A43EDD" w:rsidRPr="00B20473">
        <w:rPr>
          <w:b/>
          <w:bCs/>
          <w:iCs/>
          <w:szCs w:val="20"/>
        </w:rPr>
        <w:t>§ 1 odst. 4</w:t>
      </w:r>
      <w:r w:rsidR="00934F7F" w:rsidRPr="00B20473">
        <w:rPr>
          <w:b/>
          <w:bCs/>
          <w:iCs/>
          <w:szCs w:val="20"/>
        </w:rPr>
        <w:t xml:space="preserve"> zákona č. 84/1990 Sb., o právu shromažďovacím,</w:t>
      </w:r>
      <w:r w:rsidR="00934F7F" w:rsidRPr="00B20473">
        <w:t xml:space="preserve"> </w:t>
      </w:r>
      <w:r w:rsidR="007450D5" w:rsidRPr="00B20473">
        <w:rPr>
          <w:b/>
          <w:bCs/>
          <w:iCs/>
        </w:rPr>
        <w:t>ve znění pozdějších předpisů,</w:t>
      </w:r>
      <w:r w:rsidR="00934F7F" w:rsidRPr="00B20473">
        <w:rPr>
          <w:b/>
          <w:bCs/>
          <w:iCs/>
          <w:szCs w:val="20"/>
        </w:rPr>
        <w:t xml:space="preserve"> </w:t>
      </w:r>
      <w:r w:rsidR="00A43EDD" w:rsidRPr="00B20473">
        <w:rPr>
          <w:b/>
          <w:bCs/>
          <w:iCs/>
          <w:szCs w:val="20"/>
        </w:rPr>
        <w:t>jsou zakázána shromáždění v blízkosti budov Parlamentu České republiky, a</w:t>
      </w:r>
      <w:r>
        <w:rPr>
          <w:b/>
          <w:bCs/>
          <w:iCs/>
          <w:szCs w:val="20"/>
        </w:rPr>
        <w:t> </w:t>
      </w:r>
      <w:r w:rsidR="00A43EDD" w:rsidRPr="00B20473">
        <w:rPr>
          <w:b/>
          <w:bCs/>
          <w:iCs/>
          <w:szCs w:val="20"/>
        </w:rPr>
        <w:t>to</w:t>
      </w:r>
      <w:r w:rsidR="00862140">
        <w:rPr>
          <w:b/>
          <w:bCs/>
          <w:iCs/>
          <w:szCs w:val="20"/>
        </w:rPr>
        <w:t> </w:t>
      </w:r>
      <w:r w:rsidR="00A43EDD" w:rsidRPr="00B20473">
        <w:rPr>
          <w:b/>
          <w:bCs/>
          <w:iCs/>
          <w:szCs w:val="20"/>
        </w:rPr>
        <w:t>v místech vymezených v příloze tohoto zákona.</w:t>
      </w:r>
    </w:p>
    <w:p w:rsidR="00A43EDD" w:rsidRPr="00B20473" w:rsidRDefault="00A43EDD" w:rsidP="00B20473">
      <w:pPr>
        <w:pStyle w:val="Zhlav"/>
        <w:tabs>
          <w:tab w:val="clear" w:pos="4536"/>
          <w:tab w:val="clear" w:pos="9072"/>
        </w:tabs>
        <w:jc w:val="both"/>
        <w:rPr>
          <w:b/>
          <w:bCs/>
          <w:iCs/>
          <w:szCs w:val="20"/>
        </w:rPr>
      </w:pPr>
    </w:p>
    <w:p w:rsidR="00A43EDD" w:rsidRPr="00B20473" w:rsidRDefault="00A43EDD" w:rsidP="00A43EDD">
      <w:pPr>
        <w:rPr>
          <w:b/>
        </w:rPr>
      </w:pPr>
      <w:r w:rsidRPr="00B20473">
        <w:rPr>
          <w:b/>
          <w:u w:val="single"/>
        </w:rPr>
        <w:t>Místa, kde jsou shromáždění zakázána</w:t>
      </w:r>
      <w:r w:rsidRPr="00B20473">
        <w:rPr>
          <w:b/>
        </w:rPr>
        <w:t>:</w:t>
      </w:r>
      <w:r w:rsidRPr="00B20473">
        <w:rPr>
          <w:b/>
        </w:rPr>
        <w:t xml:space="preserve"> </w:t>
      </w:r>
    </w:p>
    <w:p w:rsidR="00A43EDD" w:rsidRDefault="00A43EDD" w:rsidP="00A43EDD"/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1. Sněmovní, Praha 1, </w:t>
      </w:r>
      <w:bookmarkStart w:id="0" w:name="_GoBack"/>
      <w:bookmarkEnd w:id="0"/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2. U Zlaté studně,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3. Tomášská,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4. Thunovská,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5. Valdštejnské náměstí,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6. Valdštejnská,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7. Zámecká, Praha 1,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8. chodník přiléhající k severní hraně Malostranského náměstí, Praha 1, mezi křižovatkami s ulicí Zámecká, Praha 1, a Tomášská, Praha 1, a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 </w:t>
      </w:r>
    </w:p>
    <w:p w:rsidR="00A43EDD" w:rsidRPr="00862140" w:rsidRDefault="00A43EDD" w:rsidP="00A43EDD">
      <w:pPr>
        <w:rPr>
          <w:b/>
        </w:rPr>
      </w:pPr>
      <w:r w:rsidRPr="00862140">
        <w:rPr>
          <w:b/>
        </w:rPr>
        <w:t xml:space="preserve">9. Letenská, Praha 1, a to v úseku mezi Malostranským náměstím, Praha 1, a křižovatkou s ulicí Josefská, Praha 1. </w:t>
      </w:r>
    </w:p>
    <w:p w:rsidR="00934F7F" w:rsidRDefault="00A43EDD" w:rsidP="00A43EDD">
      <w:r>
        <w:t xml:space="preserve">  </w:t>
      </w:r>
    </w:p>
    <w:sectPr w:rsidR="0093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3B6"/>
    <w:multiLevelType w:val="hybridMultilevel"/>
    <w:tmpl w:val="CC88294E"/>
    <w:lvl w:ilvl="0" w:tplc="481C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102"/>
    <w:multiLevelType w:val="hybridMultilevel"/>
    <w:tmpl w:val="CC6AA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0F"/>
    <w:rsid w:val="0003735A"/>
    <w:rsid w:val="00093093"/>
    <w:rsid w:val="00121ADF"/>
    <w:rsid w:val="00376119"/>
    <w:rsid w:val="003E1F51"/>
    <w:rsid w:val="00641DEE"/>
    <w:rsid w:val="006B6011"/>
    <w:rsid w:val="006F11BC"/>
    <w:rsid w:val="007450D5"/>
    <w:rsid w:val="0074574B"/>
    <w:rsid w:val="00862140"/>
    <w:rsid w:val="00934F7F"/>
    <w:rsid w:val="009632E3"/>
    <w:rsid w:val="00A43EDD"/>
    <w:rsid w:val="00B20473"/>
    <w:rsid w:val="00B41FA3"/>
    <w:rsid w:val="00C53E2D"/>
    <w:rsid w:val="00CA5C8B"/>
    <w:rsid w:val="00D6320F"/>
    <w:rsid w:val="00EA0BA8"/>
    <w:rsid w:val="00F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6B214-0419-4FBE-B61B-FB764195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  <w:cap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tabs>
        <w:tab w:val="num" w:pos="0"/>
      </w:tabs>
      <w:spacing w:before="120" w:after="120"/>
      <w:jc w:val="both"/>
    </w:pPr>
  </w:style>
  <w:style w:type="paragraph" w:styleId="Zkladntext">
    <w:name w:val="Body Text"/>
    <w:basedOn w:val="Normln"/>
    <w:semiHidden/>
    <w:pPr>
      <w:tabs>
        <w:tab w:val="left" w:pos="0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4AD9-BB20-4B18-8CEA-C3DE2E21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dnešnímu dni nebylo zakázáno na území hlavního města Prahy žádné veřejné shromáždění</vt:lpstr>
    </vt:vector>
  </TitlesOfParts>
  <Company>MHMP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dnešnímu dni nebylo zakázáno na území hlavního města Prahy žádné veřejné shromáždění</dc:title>
  <dc:subject/>
  <dc:creator>INF</dc:creator>
  <cp:keywords/>
  <dc:description/>
  <cp:lastModifiedBy>Bíňovec Václav (MHMP, ZIO)</cp:lastModifiedBy>
  <cp:revision>6</cp:revision>
  <cp:lastPrinted>2007-10-19T07:26:00Z</cp:lastPrinted>
  <dcterms:created xsi:type="dcterms:W3CDTF">2019-12-09T10:46:00Z</dcterms:created>
  <dcterms:modified xsi:type="dcterms:W3CDTF">2019-12-09T10:59:00Z</dcterms:modified>
</cp:coreProperties>
</file>