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210"/>
      </w:tblGrid>
      <w:tr w:rsidR="005D2718" w:rsidTr="000005F2">
        <w:tc>
          <w:tcPr>
            <w:tcW w:w="9210" w:type="dxa"/>
            <w:shd w:val="clear" w:color="auto" w:fill="E6E6E6"/>
          </w:tcPr>
          <w:p w:rsidR="005D2718" w:rsidRDefault="005D2718" w:rsidP="00061576">
            <w:pPr>
              <w:pStyle w:val="Nadpis7"/>
              <w:spacing w:beforeLines="50" w:before="12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Pravidla a podmínky pro poskytnutí dotace hlavního města Prahy </w:t>
            </w:r>
          </w:p>
          <w:p w:rsidR="005D2718" w:rsidRDefault="005D2718" w:rsidP="000005F2">
            <w:pPr>
              <w:pStyle w:val="Nadpis7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v sociální oblasti pro rok 2012</w:t>
            </w:r>
          </w:p>
          <w:p w:rsidR="005D2718" w:rsidRDefault="005D2718" w:rsidP="00061576">
            <w:pPr>
              <w:spacing w:beforeLines="50" w:before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 5 – Podpora městských částí v sociální oblasti</w:t>
            </w:r>
          </w:p>
          <w:p w:rsidR="005D2718" w:rsidRDefault="005D2718" w:rsidP="000005F2"/>
        </w:tc>
      </w:tr>
    </w:tbl>
    <w:p w:rsidR="005D2718" w:rsidRDefault="005D2718" w:rsidP="005D2718">
      <w:pPr>
        <w:pStyle w:val="Nadpis1"/>
        <w:rPr>
          <w:sz w:val="26"/>
        </w:rPr>
      </w:pPr>
    </w:p>
    <w:p w:rsidR="005D2718" w:rsidRDefault="005D2718" w:rsidP="005D2718">
      <w:pPr>
        <w:pStyle w:val="Nadpis1"/>
        <w:jc w:val="center"/>
      </w:pPr>
    </w:p>
    <w:p w:rsidR="005D2718" w:rsidRDefault="005D2718" w:rsidP="00061576">
      <w:pPr>
        <w:pStyle w:val="Textpoznpodarou"/>
        <w:spacing w:beforeLines="50" w:before="120"/>
        <w:jc w:val="both"/>
        <w:rPr>
          <w:sz w:val="24"/>
          <w:szCs w:val="24"/>
        </w:rPr>
      </w:pPr>
      <w:r>
        <w:rPr>
          <w:sz w:val="24"/>
          <w:szCs w:val="24"/>
        </w:rPr>
        <w:t>Grantové řízení probíhá v souladu se zákonem č. 250/ 2000 Sb., o rozpočtových   pravidlech  územních   rozpočtů,  ve  znění pozdějších   předpisů, zákonem č.  131/ 2000 Sb., o hlavním   městě  Praze, ve    znění    pozdějších    předpisů, a  zákonem č. 108/2006  Sb., o sociálních službách, ve znění pozdějších předpisů. Je též v souladu s usnesením Rady hlavního města Prahy č. 178 ze dne 21. 2. 2012, k návrhu na vyhlášení grantů HMP v sociální oblasti pro rok 2012.</w:t>
      </w:r>
    </w:p>
    <w:p w:rsidR="005D2718" w:rsidRDefault="005D2718" w:rsidP="005D2718">
      <w:pPr>
        <w:pStyle w:val="Textpoznpodarou"/>
        <w:jc w:val="both"/>
        <w:rPr>
          <w:sz w:val="24"/>
          <w:szCs w:val="24"/>
        </w:rPr>
      </w:pPr>
      <w:r>
        <w:rPr>
          <w:sz w:val="24"/>
          <w:szCs w:val="24"/>
        </w:rPr>
        <w:t>Hlavní město Praha si vyhrazuje právo změnit podmínky grantového řízení, pokud by došlo ke změnám souvisejících předpisů.</w:t>
      </w:r>
    </w:p>
    <w:p w:rsidR="005D2718" w:rsidRDefault="005D2718" w:rsidP="005D2718"/>
    <w:p w:rsidR="005D2718" w:rsidRDefault="005D2718" w:rsidP="005D2718">
      <w:pPr>
        <w:jc w:val="center"/>
        <w:rPr>
          <w:b/>
        </w:rPr>
      </w:pPr>
      <w:r>
        <w:rPr>
          <w:b/>
        </w:rPr>
        <w:t>Článek I.</w:t>
      </w:r>
    </w:p>
    <w:p w:rsidR="005D2718" w:rsidRDefault="005D2718" w:rsidP="005D2718">
      <w:pPr>
        <w:jc w:val="center"/>
        <w:rPr>
          <w:b/>
        </w:rPr>
      </w:pPr>
      <w:r>
        <w:rPr>
          <w:b/>
        </w:rPr>
        <w:t>Výklad pojmů</w:t>
      </w:r>
    </w:p>
    <w:p w:rsidR="005D2718" w:rsidRDefault="005D2718" w:rsidP="005D2718"/>
    <w:p w:rsidR="005D2718" w:rsidRDefault="005D2718" w:rsidP="005D2718"/>
    <w:p w:rsidR="005D2718" w:rsidRDefault="005D2718" w:rsidP="005D2718">
      <w:r>
        <w:t>Pro účely těchto pravidel a podmínek:</w:t>
      </w:r>
    </w:p>
    <w:p w:rsidR="005D2718" w:rsidRDefault="005D2718" w:rsidP="005D2718"/>
    <w:p w:rsidR="005D2718" w:rsidRDefault="005D2718" w:rsidP="005D2718">
      <w:pPr>
        <w:numPr>
          <w:ilvl w:val="0"/>
          <w:numId w:val="9"/>
        </w:numPr>
        <w:jc w:val="both"/>
      </w:pPr>
      <w:r>
        <w:t>se příjemcem grantu formou dotace rozumí městská část Praha 1 až 22 (dále           jen „městská část“),</w:t>
      </w:r>
    </w:p>
    <w:p w:rsidR="005D2718" w:rsidRDefault="005D2718" w:rsidP="005D2718">
      <w:pPr>
        <w:numPr>
          <w:ilvl w:val="0"/>
          <w:numId w:val="9"/>
        </w:numPr>
        <w:jc w:val="both"/>
      </w:pPr>
      <w:r>
        <w:t>se  poskytovatelem dotace rozumí hlavní město Praha,</w:t>
      </w:r>
    </w:p>
    <w:p w:rsidR="005D2718" w:rsidRDefault="005D2718" w:rsidP="005D2718">
      <w:pPr>
        <w:numPr>
          <w:ilvl w:val="0"/>
          <w:numId w:val="9"/>
        </w:numPr>
        <w:jc w:val="both"/>
      </w:pPr>
      <w:r>
        <w:t>se poskytovatelem sociálních služeb rozumí poskytovatel služeb, který splňuje náležitosti zákona č. 108/2006 Sb., o sociálních službách, ve znění pozdějších předpisů, rozhodnutí o registraci mu muselo být vydáno nejpozději ke dni 31. 12. 2011 a  který žádá  o finanční prostředky od městské části;</w:t>
      </w:r>
    </w:p>
    <w:p w:rsidR="005D2718" w:rsidRDefault="005D2718" w:rsidP="005D2718">
      <w:pPr>
        <w:numPr>
          <w:ilvl w:val="0"/>
          <w:numId w:val="9"/>
        </w:numPr>
        <w:jc w:val="both"/>
      </w:pPr>
      <w:r>
        <w:t>se dotací rozumí finanční prostředky z rozpočtu hlavního města Prahy, které jsou poskytovány městské části na financování sociálních služeb.</w:t>
      </w: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  <w:r>
        <w:rPr>
          <w:i w:val="0"/>
          <w:iCs w:val="0"/>
        </w:rPr>
        <w:t>Článek II.</w:t>
      </w:r>
    </w:p>
    <w:p w:rsidR="005D2718" w:rsidRDefault="005D2718" w:rsidP="005D2718">
      <w:pPr>
        <w:pStyle w:val="Nadpis2"/>
        <w:jc w:val="center"/>
        <w:rPr>
          <w:i w:val="0"/>
          <w:iCs w:val="0"/>
        </w:rPr>
      </w:pPr>
      <w:r>
        <w:rPr>
          <w:i w:val="0"/>
          <w:iCs w:val="0"/>
        </w:rPr>
        <w:t>Všeobecné podmínky pro poskytování dotace</w:t>
      </w:r>
    </w:p>
    <w:p w:rsidR="005D2718" w:rsidRDefault="005D2718" w:rsidP="005D2718"/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>Objem finančních prostředků poskytovaných v rámci grantového řízení je limitován celkovým objemem finančních prostředků, který je pro tyto účely v roce 2012 vyčleněn v rozpočtu hlavního města Prahy.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Poskytnutá dotace je určena na financování sociálních služeb, které jsou poskytovány pro občany městské části. Jedná se o účelově vázané prostředky, které jsou určeny       na následují druhy sociálních služeb: </w:t>
      </w:r>
    </w:p>
    <w:p w:rsidR="005D2718" w:rsidRDefault="005D2718" w:rsidP="005D2718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pečovatelská služba,</w:t>
      </w:r>
    </w:p>
    <w:p w:rsidR="005D2718" w:rsidRDefault="005D2718" w:rsidP="005D2718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nízkoprahová zařízení pro děti a mládež.</w:t>
      </w:r>
    </w:p>
    <w:p w:rsidR="005D2718" w:rsidRDefault="00061576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Poskytnutou dotaci </w:t>
      </w:r>
      <w:r w:rsidR="005D2718">
        <w:rPr>
          <w:b w:val="0"/>
          <w:bCs w:val="0"/>
        </w:rPr>
        <w:t>musí městská část využít na financování sociálních služeb         podle odstavce  2.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Poskytnutí dotace poskytovateli sociálních služeb musí městská část provést vyhlášením grantového řízení.  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Poskytnutou dotaci musí městská část přidělit poskytovateli sociálních služeb nejdříve od 1. 4. 2012 a nejpozději do 31. 12. 2012. 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Vyúčtování poskytnuté dotace se předkládá odboru sociální péče a zdravotnictví Magistrátu hlavního města Prahy,  do 10. 2. 2013.  </w:t>
      </w:r>
      <w:r>
        <w:rPr>
          <w:b w:val="0"/>
        </w:rPr>
        <w:t xml:space="preserve">Standardizovaný formulář vyúčtování bude k dispozici na internetových stránkách hlavního města Prahy </w:t>
      </w:r>
      <w:hyperlink r:id="rId9" w:history="1">
        <w:r>
          <w:rPr>
            <w:rStyle w:val="Hypertextovodkaz"/>
            <w:b w:val="0"/>
          </w:rPr>
          <w:t>http://socialni.praha.eu</w:t>
        </w:r>
      </w:hyperlink>
      <w:r>
        <w:rPr>
          <w:b w:val="0"/>
        </w:rPr>
        <w:t xml:space="preserve"> nejpozději do 31. 10. 2012</w:t>
      </w:r>
      <w:r>
        <w:rPr>
          <w:b w:val="0"/>
          <w:bCs w:val="0"/>
        </w:rPr>
        <w:t xml:space="preserve">. Nevyčerpané prostředky musí být vráceny na účet hlavního města Prahy v rámci finančního vypořádání za rok 2012. 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Městská část je povinna využít poskytnutou dotaci hospodárně a zodpovědně zabezpečit poskytování sociálních služeb podle odstavců 2 a 3 občanům této městské části. 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Městská část je povinna vést poskytnutou dotaci v účetnictví  odděleně </w:t>
      </w:r>
      <w:r>
        <w:rPr>
          <w:b w:val="0"/>
        </w:rPr>
        <w:t>v souladu           s jiným právním předpisem</w:t>
      </w:r>
      <w:r>
        <w:rPr>
          <w:rStyle w:val="Znakapoznpodarou"/>
          <w:b w:val="0"/>
        </w:rPr>
        <w:footnoteReference w:id="1"/>
      </w:r>
      <w:r>
        <w:rPr>
          <w:b w:val="0"/>
          <w:vertAlign w:val="superscript"/>
        </w:rPr>
        <w:t>)</w:t>
      </w:r>
      <w:r>
        <w:rPr>
          <w:b w:val="0"/>
          <w:bCs w:val="0"/>
        </w:rPr>
        <w:t xml:space="preserve">. 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Městská část je povinna písemně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přizvat jako členy komise, která bude navrhovat rozdělení dotace jednotlivým poskytovatelům sociálních služeb, zástupce z příslušných městských částí.</w:t>
      </w:r>
    </w:p>
    <w:p w:rsidR="005D2718" w:rsidRDefault="005D2718" w:rsidP="005D2718">
      <w:pPr>
        <w:pStyle w:val="Zkladntext"/>
        <w:numPr>
          <w:ilvl w:val="2"/>
          <w:numId w:val="1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Městská část je povinna písemně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přizvat do komise, která bude navrhovat rozdělení dotace jednotlivým poskytovatelům sociálních služeb, zástupce Odboru zdravotnictví, sociální péče a prevence Magistrátu hlavního města Prahy.  </w:t>
      </w:r>
    </w:p>
    <w:p w:rsidR="005D2718" w:rsidRDefault="005D2718" w:rsidP="005D2718">
      <w:pPr>
        <w:pStyle w:val="Zkladntext"/>
        <w:tabs>
          <w:tab w:val="left" w:pos="0"/>
        </w:tabs>
        <w:ind w:left="567"/>
        <w:jc w:val="both"/>
        <w:rPr>
          <w:b w:val="0"/>
          <w:b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  <w:r>
        <w:rPr>
          <w:i w:val="0"/>
          <w:iCs w:val="0"/>
        </w:rPr>
        <w:t>Článek III.</w:t>
      </w:r>
    </w:p>
    <w:p w:rsidR="005D2718" w:rsidRDefault="005D2718" w:rsidP="005D2718">
      <w:pPr>
        <w:pStyle w:val="Nadpis2"/>
        <w:jc w:val="center"/>
        <w:rPr>
          <w:i w:val="0"/>
          <w:iCs w:val="0"/>
        </w:rPr>
      </w:pPr>
      <w:r>
        <w:rPr>
          <w:i w:val="0"/>
          <w:iCs w:val="0"/>
        </w:rPr>
        <w:t>Podmínky pro poskytovatele sociálních služeb</w:t>
      </w:r>
    </w:p>
    <w:p w:rsidR="005D2718" w:rsidRDefault="005D2718" w:rsidP="005D2718">
      <w:pPr>
        <w:pStyle w:val="Zkladntext"/>
        <w:tabs>
          <w:tab w:val="left" w:pos="0"/>
        </w:tabs>
        <w:jc w:val="both"/>
        <w:rPr>
          <w:b w:val="0"/>
          <w:bCs w:val="0"/>
        </w:rPr>
      </w:pPr>
    </w:p>
    <w:p w:rsidR="005D2718" w:rsidRDefault="005D2718" w:rsidP="005D2718">
      <w:pPr>
        <w:pStyle w:val="Zkladntext"/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>Městská část je povinna zavázat poskytovatele sociálních služeb, kterým poskytne finanční prostředky z této dotace, následovně:</w:t>
      </w:r>
    </w:p>
    <w:p w:rsidR="005D2718" w:rsidRDefault="005D2718" w:rsidP="005D2718">
      <w:pPr>
        <w:pStyle w:val="Zkladntext"/>
        <w:numPr>
          <w:ilvl w:val="0"/>
          <w:numId w:val="7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k využití finančních prostředků na úhradu nákladů související s poskytovanou sociální  službou  v období  od 1. 4. 2012   do 31. 12. 2012 (finanční prostředky jsou určeny pouze na náklady v tomto období),</w:t>
      </w:r>
    </w:p>
    <w:p w:rsidR="005D2718" w:rsidRDefault="005D2718" w:rsidP="005D2718">
      <w:pPr>
        <w:pStyle w:val="Zkladntext"/>
        <w:numPr>
          <w:ilvl w:val="0"/>
          <w:numId w:val="7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finanční prostředky jsou účelově vázány na druh sociální služby podle zákona č. 108/2006 Sb., o sociálních službách, ve znění pozdějších předpisů,                 podle Článku II. odst. 2, a jsou vedeny v účetnictví odděleně v souladu s jiným právním předpisem</w:t>
      </w: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; </w:t>
      </w:r>
    </w:p>
    <w:p w:rsidR="005D2718" w:rsidRDefault="005D2718" w:rsidP="005D2718">
      <w:pPr>
        <w:pStyle w:val="Zkladntext"/>
        <w:numPr>
          <w:ilvl w:val="0"/>
          <w:numId w:val="7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z poskytnutých finančních prostředků poskytovatel sociálních služeb </w:t>
      </w:r>
      <w:r>
        <w:rPr>
          <w:b w:val="0"/>
          <w:u w:val="single"/>
        </w:rPr>
        <w:t>nesmí hradit</w:t>
      </w:r>
      <w:r>
        <w:rPr>
          <w:b w:val="0"/>
        </w:rPr>
        <w:t xml:space="preserve"> náklady (výdaje):</w:t>
      </w:r>
    </w:p>
    <w:p w:rsidR="005D2718" w:rsidRDefault="005D2718" w:rsidP="005D2718">
      <w:pPr>
        <w:pStyle w:val="Zkladntext"/>
        <w:tabs>
          <w:tab w:val="left" w:pos="0"/>
        </w:tabs>
        <w:ind w:left="710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>1. na pořízení nebo technické zhodnocení hmotného a nehmotného dlouhodobého  majetku v souladu s jiným právním předpisem</w:t>
      </w:r>
      <w:r>
        <w:rPr>
          <w:rStyle w:val="Znakapoznpodarou"/>
          <w:b w:val="0"/>
          <w:bCs w:val="0"/>
        </w:rPr>
        <w:footnoteReference w:id="2"/>
      </w:r>
      <w:r>
        <w:rPr>
          <w:b w:val="0"/>
          <w:bCs w:val="0"/>
          <w:vertAlign w:val="superscript"/>
        </w:rPr>
        <w:t>)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(dlouhodobým hmotným majetkem     se rozumí majetek, jehož doba použitelnosti je delší než jeden rok a vstupní cena je  vyšší než 40 000 Kč; dlouhodobým nehmotným majetkem se rozumí majetek, jehož doba použitelnosti je delší než jeden rok a vstupní cena je  vyšší 60 000 Kč),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  <w:t xml:space="preserve">2. na odměny  statutárním orgánům právnických osob (např. dozorčí rady, představenstva), 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  <w:t>3. na mzdy zdravotnických pracovníků,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>4. na tvorbu zisku a základního jmění,</w:t>
      </w:r>
    </w:p>
    <w:p w:rsidR="005D2718" w:rsidRDefault="005D2718" w:rsidP="005D2718">
      <w:pPr>
        <w:pStyle w:val="Zkladntext"/>
        <w:tabs>
          <w:tab w:val="left" w:pos="-2520"/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ab/>
        <w:t>5. na členské příspěvky v mezinárodních institucích,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>6. na splátky půjček a na leasingové splátky,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7. na odpisy majetku, 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>8. na výdaje spojené se zahraničními cestami,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>9. na provedení účetního či daňového auditu,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10. na pohoštění a dary, 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11. na pokuty, penále a sankce; 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>12. na stravné zaměstnanců (kromě cestovních náhrad podle jiného právního    předpisu)</w:t>
      </w:r>
      <w:r>
        <w:rPr>
          <w:rStyle w:val="Znakapoznpodarou"/>
          <w:b w:val="0"/>
          <w:bCs w:val="0"/>
        </w:rPr>
        <w:footnoteReference w:id="3"/>
      </w:r>
      <w:r>
        <w:rPr>
          <w:b w:val="0"/>
          <w:bCs w:val="0"/>
          <w:vertAlign w:val="superscript"/>
        </w:rPr>
        <w:t>)</w:t>
      </w:r>
      <w:r>
        <w:rPr>
          <w:b w:val="0"/>
          <w:bCs w:val="0"/>
        </w:rPr>
        <w:t>,</w:t>
      </w:r>
    </w:p>
    <w:p w:rsidR="005D2718" w:rsidRDefault="005D2718" w:rsidP="005D2718">
      <w:pPr>
        <w:pStyle w:val="Zkladntext"/>
        <w:tabs>
          <w:tab w:val="left" w:pos="0"/>
        </w:tabs>
        <w:ind w:left="708"/>
        <w:jc w:val="both"/>
        <w:rPr>
          <w:b w:val="0"/>
          <w:bCs w:val="0"/>
        </w:rPr>
      </w:pPr>
      <w:r>
        <w:rPr>
          <w:b w:val="0"/>
          <w:bCs w:val="0"/>
        </w:rPr>
        <w:t>13. na jízdné pro zaměstnance (kromě jízdních výdajů v době konání pracovní    cesty podle jiného právního předpisu)</w:t>
      </w:r>
      <w:r>
        <w:rPr>
          <w:rStyle w:val="Znakapoznpodarou"/>
        </w:rPr>
        <w:t xml:space="preserve"> </w:t>
      </w:r>
      <w:r>
        <w:rPr>
          <w:rStyle w:val="Znakapoznpodarou"/>
          <w:b w:val="0"/>
        </w:rPr>
        <w:t>3</w:t>
      </w:r>
      <w:r>
        <w:rPr>
          <w:b w:val="0"/>
          <w:vertAlign w:val="superscript"/>
        </w:rPr>
        <w:t>)</w:t>
      </w:r>
      <w:r>
        <w:rPr>
          <w:b w:val="0"/>
          <w:bCs w:val="0"/>
        </w:rPr>
        <w:t>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>14. na rekondiční a rekreační pobyty (kromě socioterapeutických pobytů),</w:t>
      </w:r>
    </w:p>
    <w:p w:rsidR="005D2718" w:rsidRDefault="005D2718" w:rsidP="005D2718">
      <w:pPr>
        <w:pStyle w:val="Zkladntext"/>
        <w:tabs>
          <w:tab w:val="left" w:pos="0"/>
        </w:tabs>
        <w:ind w:left="540"/>
        <w:jc w:val="both"/>
        <w:rPr>
          <w:b w:val="0"/>
          <w:bCs w:val="0"/>
        </w:rPr>
      </w:pPr>
      <w:r>
        <w:rPr>
          <w:b w:val="0"/>
          <w:bCs w:val="0"/>
        </w:rPr>
        <w:tab/>
        <w:t>15. na nespecifikované výdaje (tj. výdaje, které nelze účetně doložit);</w:t>
      </w:r>
    </w:p>
    <w:p w:rsidR="005D2718" w:rsidRDefault="005D2718" w:rsidP="005D2718">
      <w:pPr>
        <w:pStyle w:val="Zkladntext"/>
        <w:numPr>
          <w:ilvl w:val="0"/>
          <w:numId w:val="7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z poskytnutých finančních prostředků poskytovatel  </w:t>
      </w:r>
      <w:r>
        <w:rPr>
          <w:b w:val="0"/>
          <w:u w:val="single"/>
        </w:rPr>
        <w:t>může hradit</w:t>
      </w:r>
      <w:r>
        <w:rPr>
          <w:b w:val="0"/>
        </w:rPr>
        <w:t xml:space="preserve"> náklady (výdaje):</w:t>
      </w:r>
    </w:p>
    <w:p w:rsidR="005D2718" w:rsidRDefault="005D2718" w:rsidP="005D2718">
      <w:pPr>
        <w:pStyle w:val="Zkladntext"/>
        <w:tabs>
          <w:tab w:val="left" w:pos="0"/>
        </w:tabs>
        <w:ind w:left="708"/>
        <w:jc w:val="both"/>
        <w:rPr>
          <w:b w:val="0"/>
          <w:bCs w:val="0"/>
        </w:rPr>
      </w:pPr>
      <w:r>
        <w:rPr>
          <w:b w:val="0"/>
          <w:bCs w:val="0"/>
        </w:rPr>
        <w:t>1. provozní náklady nezbytné pro realizaci sociální služby, které jsou identifikovatelné, účetně evidované, ověřitelné a podložené originálními dokumenty;</w:t>
      </w:r>
    </w:p>
    <w:p w:rsidR="005D2718" w:rsidRDefault="005D2718" w:rsidP="005D2718">
      <w:pPr>
        <w:pStyle w:val="Zkladntext"/>
        <w:tabs>
          <w:tab w:val="left" w:pos="0"/>
        </w:tabs>
        <w:ind w:left="708"/>
        <w:jc w:val="both"/>
        <w:rPr>
          <w:b w:val="0"/>
          <w:bCs w:val="0"/>
        </w:rPr>
      </w:pPr>
      <w:r>
        <w:rPr>
          <w:b w:val="0"/>
          <w:bCs w:val="0"/>
        </w:rPr>
        <w:t>2. mzdové náklady (včetně odvodů sociálního a zdravotního pojištění, které hradí zaměstnavatel za své zaměstnance), které jsou odměnou za realizaci schválené poskytované služby; včetně mzdových nákladů vzniklých na základě dohod o pracích konaných mimo pracovní poměr, se kterými se uzavře pro tento případ a v zájmu prokazatelnosti smlouva v rámci pracovně právního vztahu v souladu s jiným právním předpisem</w:t>
      </w:r>
      <w:r>
        <w:rPr>
          <w:rStyle w:val="Znakapoznpodarou"/>
          <w:b w:val="0"/>
        </w:rPr>
        <w:t>3</w:t>
      </w:r>
      <w:r>
        <w:rPr>
          <w:b w:val="0"/>
          <w:vertAlign w:val="superscript"/>
        </w:rPr>
        <w:t>)</w:t>
      </w:r>
      <w:r>
        <w:rPr>
          <w:b w:val="0"/>
          <w:bCs w:val="0"/>
        </w:rPr>
        <w:t>;</w:t>
      </w:r>
    </w:p>
    <w:p w:rsidR="005D2718" w:rsidRDefault="005D2718" w:rsidP="005D2718">
      <w:pPr>
        <w:pStyle w:val="Zkladntext"/>
        <w:numPr>
          <w:ilvl w:val="0"/>
          <w:numId w:val="7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poskytovatel sociálních služeb je povinen finanční prostředky příslušné městské části řádně vyúčtovat k 31. 12. 2012   na formuláři a v termínu určeném příslušnou městskou částí; nevyčerpané finanční prostředky je poskytovatel sociálních služeb povinen vrátit na účet příslušné městské části v termínu jím určeném;</w:t>
      </w:r>
    </w:p>
    <w:p w:rsidR="005D2718" w:rsidRDefault="005D2718" w:rsidP="005D2718">
      <w:pPr>
        <w:pStyle w:val="Zkladntext"/>
        <w:numPr>
          <w:ilvl w:val="0"/>
          <w:numId w:val="7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poskytovatel sociálních služeb je povinen umožnit hlavnímu městu Praze a příslušné městské části průběžnou a následnou kontrolu čerpání přidělených finančních prostředků a na požádání umožnit kontrolu originálních účetních písemností, vztahujících se k účtování přidělených finančních prostředků; při kontrole  dodržování podmínek čerpání finančních prostředků z rozpočtu hlavního města Prahy se postupuje v souladu s jiným právním předpisem</w:t>
      </w:r>
      <w:r>
        <w:rPr>
          <w:rStyle w:val="Znakapoznpodarou"/>
          <w:b w:val="0"/>
        </w:rPr>
        <w:footnoteReference w:id="4"/>
      </w:r>
      <w:r>
        <w:rPr>
          <w:b w:val="0"/>
          <w:vertAlign w:val="superscript"/>
        </w:rPr>
        <w:t>)</w:t>
      </w:r>
      <w:r>
        <w:rPr>
          <w:b w:val="0"/>
        </w:rPr>
        <w:t xml:space="preserve">.  </w:t>
      </w: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  <w:r>
        <w:rPr>
          <w:i w:val="0"/>
          <w:iCs w:val="0"/>
        </w:rPr>
        <w:t>Článek IV.</w:t>
      </w:r>
    </w:p>
    <w:p w:rsidR="005D2718" w:rsidRDefault="005D2718" w:rsidP="005D2718">
      <w:pPr>
        <w:pStyle w:val="Nadpis2"/>
        <w:jc w:val="center"/>
        <w:rPr>
          <w:i w:val="0"/>
          <w:iCs w:val="0"/>
        </w:rPr>
      </w:pPr>
      <w:r>
        <w:rPr>
          <w:i w:val="0"/>
          <w:iCs w:val="0"/>
        </w:rPr>
        <w:t xml:space="preserve">Žádost </w:t>
      </w:r>
    </w:p>
    <w:p w:rsidR="005D2718" w:rsidRDefault="005D2718" w:rsidP="005D2718">
      <w:pPr>
        <w:pStyle w:val="Zkladntext"/>
        <w:numPr>
          <w:ilvl w:val="0"/>
          <w:numId w:val="4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Dotace je městské části poskytována na základě žádosti předložené hlavnímu městu Praze v závazné formě, v jednom písemném vyhotovení a v elektronické podobě. Formulář žádosti je dostupný na internetové adrese: </w:t>
      </w:r>
      <w:hyperlink r:id="rId10" w:history="1">
        <w:r>
          <w:rPr>
            <w:rStyle w:val="Hypertextovodkaz"/>
            <w:b w:val="0"/>
          </w:rPr>
          <w:t>http://socialni.praha.eu/jnp/cz/financovani_socialni_oblasti/granty_hmp/grantove_rizeni_pro_rok_2012/</w:t>
        </w:r>
      </w:hyperlink>
      <w:r>
        <w:rPr>
          <w:b w:val="0"/>
          <w:bCs w:val="0"/>
        </w:rPr>
        <w:t>.</w:t>
      </w:r>
    </w:p>
    <w:p w:rsidR="005D2718" w:rsidRDefault="005D2718" w:rsidP="005D2718">
      <w:pPr>
        <w:pStyle w:val="Zkladntext"/>
        <w:numPr>
          <w:ilvl w:val="0"/>
          <w:numId w:val="4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>Formulář žádosti obsahuje, zejména:</w:t>
      </w:r>
    </w:p>
    <w:p w:rsidR="005D2718" w:rsidRDefault="005D2718" w:rsidP="005D2718">
      <w:pPr>
        <w:pStyle w:val="Zkladntext"/>
        <w:numPr>
          <w:ilvl w:val="0"/>
          <w:numId w:val="8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identifikační údaje městské části,</w:t>
      </w:r>
    </w:p>
    <w:p w:rsidR="005D2718" w:rsidRDefault="005D2718" w:rsidP="005D2718">
      <w:pPr>
        <w:pStyle w:val="Zkladntext"/>
        <w:numPr>
          <w:ilvl w:val="0"/>
          <w:numId w:val="8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kvantitativní údaje </w:t>
      </w:r>
    </w:p>
    <w:p w:rsidR="005D2718" w:rsidRDefault="005D2718" w:rsidP="005D2718">
      <w:pPr>
        <w:pStyle w:val="Zkladntext"/>
        <w:numPr>
          <w:ilvl w:val="0"/>
          <w:numId w:val="8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</w:rPr>
        <w:t>zdůvodnění potřebnosti dotace,</w:t>
      </w:r>
      <w:r>
        <w:rPr>
          <w:b w:val="0"/>
          <w:bCs w:val="0"/>
        </w:rPr>
        <w:t xml:space="preserve"> </w:t>
      </w:r>
    </w:p>
    <w:p w:rsidR="005D2718" w:rsidRDefault="005D2718" w:rsidP="005D2718">
      <w:pPr>
        <w:pStyle w:val="Zkladntext"/>
        <w:numPr>
          <w:ilvl w:val="0"/>
          <w:numId w:val="8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přehled o financování sociálních služeb.</w:t>
      </w:r>
    </w:p>
    <w:p w:rsidR="005D2718" w:rsidRDefault="005D2718" w:rsidP="005D2718">
      <w:pPr>
        <w:pStyle w:val="Zkladntext"/>
        <w:numPr>
          <w:ilvl w:val="0"/>
          <w:numId w:val="4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Do grantového řízení se zařazují žádosti městských částí, podané </w:t>
      </w:r>
      <w:r>
        <w:rPr>
          <w:bCs w:val="0"/>
        </w:rPr>
        <w:t>nej</w:t>
      </w:r>
      <w:r w:rsidR="00061576">
        <w:rPr>
          <w:bCs w:val="0"/>
        </w:rPr>
        <w:t>později               do   4. 5</w:t>
      </w:r>
      <w:bookmarkStart w:id="0" w:name="_GoBack"/>
      <w:bookmarkEnd w:id="0"/>
      <w:r>
        <w:rPr>
          <w:bCs w:val="0"/>
        </w:rPr>
        <w:t>. 2012 </w:t>
      </w:r>
      <w:r>
        <w:rPr>
          <w:b w:val="0"/>
          <w:bCs w:val="0"/>
        </w:rPr>
        <w:t xml:space="preserve">včetně: </w:t>
      </w:r>
    </w:p>
    <w:p w:rsidR="005D2718" w:rsidRDefault="005D2718" w:rsidP="005D2718">
      <w:pPr>
        <w:pStyle w:val="Zkladntext"/>
        <w:tabs>
          <w:tab w:val="left" w:pos="0"/>
        </w:tabs>
        <w:ind w:left="567"/>
        <w:jc w:val="both"/>
        <w:rPr>
          <w:b w:val="0"/>
          <w:bCs w:val="0"/>
        </w:rPr>
      </w:pPr>
      <w:r>
        <w:rPr>
          <w:b w:val="0"/>
          <w:bCs w:val="0"/>
        </w:rPr>
        <w:t xml:space="preserve">a) v písemné podobě: </w:t>
      </w:r>
    </w:p>
    <w:p w:rsidR="005D2718" w:rsidRDefault="005D2718" w:rsidP="005D2718">
      <w:pPr>
        <w:pStyle w:val="Zkladntext"/>
        <w:tabs>
          <w:tab w:val="left" w:pos="0"/>
        </w:tabs>
        <w:ind w:left="510"/>
        <w:jc w:val="left"/>
        <w:rPr>
          <w:b w:val="0"/>
        </w:rPr>
      </w:pPr>
      <w:r>
        <w:rPr>
          <w:b w:val="0"/>
          <w:bCs w:val="0"/>
        </w:rPr>
        <w:t xml:space="preserve"> 1. </w:t>
      </w:r>
      <w:r>
        <w:rPr>
          <w:b w:val="0"/>
        </w:rPr>
        <w:t xml:space="preserve">v podatelně Magistrátu hlavního města Prahy                                                    </w:t>
      </w:r>
    </w:p>
    <w:p w:rsidR="005D2718" w:rsidRDefault="005D2718" w:rsidP="005D2718">
      <w:pPr>
        <w:pStyle w:val="Zkladntext"/>
        <w:tabs>
          <w:tab w:val="left" w:pos="0"/>
        </w:tabs>
        <w:spacing w:before="0"/>
        <w:ind w:left="510"/>
        <w:jc w:val="left"/>
        <w:rPr>
          <w:b w:val="0"/>
        </w:rPr>
      </w:pPr>
      <w:r>
        <w:rPr>
          <w:b w:val="0"/>
        </w:rPr>
        <w:t xml:space="preserve"> (Jungmannova 35/29,   111 21 Praha 1),</w:t>
      </w:r>
    </w:p>
    <w:p w:rsidR="005D2718" w:rsidRDefault="005D2718" w:rsidP="005D2718">
      <w:pPr>
        <w:pStyle w:val="Zkladntext"/>
        <w:tabs>
          <w:tab w:val="left" w:pos="0"/>
        </w:tabs>
        <w:ind w:left="510"/>
        <w:jc w:val="left"/>
        <w:rPr>
          <w:b w:val="0"/>
        </w:rPr>
      </w:pPr>
      <w:r>
        <w:rPr>
          <w:b w:val="0"/>
        </w:rPr>
        <w:t xml:space="preserve"> 2. poštou (rozhodující je datum poštovního razítka); </w:t>
      </w:r>
    </w:p>
    <w:p w:rsidR="005D2718" w:rsidRDefault="005D2718" w:rsidP="005D2718">
      <w:pPr>
        <w:pStyle w:val="Zkladntext"/>
        <w:spacing w:beforeLines="50"/>
        <w:ind w:left="35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   b) elektronicky na adresu </w:t>
      </w:r>
      <w:hyperlink r:id="rId11" w:history="1">
        <w:r>
          <w:rPr>
            <w:rStyle w:val="Hypertextovodkaz"/>
            <w:b w:val="0"/>
          </w:rPr>
          <w:t>tomas.klinecky@praha.eu</w:t>
        </w:r>
      </w:hyperlink>
      <w:r>
        <w:rPr>
          <w:b w:val="0"/>
          <w:bCs w:val="0"/>
          <w:color w:val="000000"/>
        </w:rPr>
        <w:t>.</w:t>
      </w:r>
    </w:p>
    <w:p w:rsidR="005D2718" w:rsidRDefault="005D2718" w:rsidP="005D2718">
      <w:pPr>
        <w:pStyle w:val="Zkladntext"/>
        <w:spacing w:after="120"/>
        <w:jc w:val="both"/>
      </w:pPr>
      <w:r>
        <w:t xml:space="preserve">          </w:t>
      </w:r>
    </w:p>
    <w:p w:rsidR="005D2718" w:rsidRDefault="005D2718" w:rsidP="005D2718">
      <w:pPr>
        <w:pStyle w:val="Zkladntext"/>
        <w:jc w:val="both"/>
      </w:pPr>
      <w:r>
        <w:t xml:space="preserve">Žádost je nutné jasně označit: odbor zdravotnictví, sociální péče a prevence  Magistrátu       </w:t>
      </w:r>
    </w:p>
    <w:p w:rsidR="005D2718" w:rsidRDefault="005D2718" w:rsidP="005D2718">
      <w:pPr>
        <w:pStyle w:val="Zkladntext"/>
        <w:spacing w:before="0"/>
        <w:jc w:val="both"/>
        <w:rPr>
          <w:b w:val="0"/>
          <w:bCs w:val="0"/>
        </w:rPr>
      </w:pPr>
      <w:r>
        <w:t>hlavního města Prahy, dotace – podpora městských částí v sociální oblasti</w:t>
      </w:r>
      <w:r>
        <w:rPr>
          <w:b w:val="0"/>
          <w:bCs w:val="0"/>
        </w:rPr>
        <w:t>.</w:t>
      </w:r>
    </w:p>
    <w:p w:rsidR="005D2718" w:rsidRDefault="005D2718" w:rsidP="005D2718">
      <w:pPr>
        <w:pStyle w:val="Zkladntext"/>
        <w:numPr>
          <w:ilvl w:val="0"/>
          <w:numId w:val="4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>Informace o grantovém řízení poskytuje:</w:t>
      </w:r>
    </w:p>
    <w:p w:rsidR="005D2718" w:rsidRDefault="005D2718" w:rsidP="005D2718">
      <w:pPr>
        <w:pStyle w:val="Zkladntext"/>
        <w:tabs>
          <w:tab w:val="left" w:pos="0"/>
        </w:tabs>
        <w:ind w:left="567"/>
        <w:jc w:val="both"/>
        <w:rPr>
          <w:b w:val="0"/>
        </w:rPr>
      </w:pPr>
      <w:r>
        <w:rPr>
          <w:b w:val="0"/>
        </w:rPr>
        <w:t>PhDr. Tomáš Klinecký, tel.: 236 00 4156.</w:t>
      </w:r>
    </w:p>
    <w:p w:rsidR="005D2718" w:rsidRDefault="00061576" w:rsidP="005D2718">
      <w:pPr>
        <w:pStyle w:val="Zkladntext"/>
        <w:tabs>
          <w:tab w:val="left" w:pos="0"/>
        </w:tabs>
        <w:ind w:left="567"/>
        <w:jc w:val="both"/>
        <w:rPr>
          <w:b w:val="0"/>
          <w:bCs w:val="0"/>
        </w:rPr>
      </w:pPr>
      <w:hyperlink r:id="rId12" w:history="1">
        <w:r w:rsidR="005D2718">
          <w:rPr>
            <w:rStyle w:val="Hypertextovodkaz"/>
            <w:b w:val="0"/>
          </w:rPr>
          <w:t>tomas.klinecky@praha.eu</w:t>
        </w:r>
      </w:hyperlink>
      <w:r w:rsidR="005D2718">
        <w:rPr>
          <w:b w:val="0"/>
          <w:bCs w:val="0"/>
          <w:color w:val="000000"/>
        </w:rPr>
        <w:t>,</w:t>
      </w:r>
    </w:p>
    <w:p w:rsidR="005D2718" w:rsidRDefault="005D2718" w:rsidP="005D2718">
      <w:pPr>
        <w:pStyle w:val="Zkladntext"/>
        <w:tabs>
          <w:tab w:val="left" w:pos="567"/>
        </w:tabs>
        <w:ind w:left="567" w:right="-650"/>
        <w:jc w:val="both"/>
        <w:rPr>
          <w:b w:val="0"/>
        </w:rPr>
      </w:pPr>
    </w:p>
    <w:p w:rsidR="005D2718" w:rsidRDefault="005D2718" w:rsidP="005D2718">
      <w:pPr>
        <w:pStyle w:val="Zkladntext"/>
        <w:tabs>
          <w:tab w:val="left" w:pos="567"/>
        </w:tabs>
        <w:ind w:left="567" w:right="-650"/>
        <w:jc w:val="both"/>
        <w:rPr>
          <w:b w:val="0"/>
        </w:rPr>
      </w:pPr>
      <w:r>
        <w:rPr>
          <w:b w:val="0"/>
        </w:rPr>
        <w:t xml:space="preserve">Yvetta Slováková, tel.: 236 004 153, </w:t>
      </w:r>
    </w:p>
    <w:p w:rsidR="005D2718" w:rsidRDefault="00061576" w:rsidP="005D2718">
      <w:pPr>
        <w:pStyle w:val="Zkladntext"/>
        <w:tabs>
          <w:tab w:val="left" w:pos="567"/>
        </w:tabs>
        <w:ind w:left="567" w:right="-650"/>
        <w:jc w:val="both"/>
        <w:rPr>
          <w:rStyle w:val="Hypertextovodkaz"/>
          <w:b w:val="0"/>
          <w:color w:val="FF00FF"/>
        </w:rPr>
      </w:pPr>
      <w:hyperlink r:id="rId13" w:history="1">
        <w:r w:rsidR="005D2718">
          <w:rPr>
            <w:rStyle w:val="Hypertextovodkaz"/>
            <w:b w:val="0"/>
            <w:bCs w:val="0"/>
          </w:rPr>
          <w:t>yvetta.slovakova@praha.eu</w:t>
        </w:r>
      </w:hyperlink>
      <w:r w:rsidR="005D2718">
        <w:rPr>
          <w:b w:val="0"/>
          <w:color w:val="000000"/>
        </w:rPr>
        <w:t>.</w:t>
      </w:r>
    </w:p>
    <w:p w:rsidR="005D2718" w:rsidRDefault="005D2718" w:rsidP="005D2718">
      <w:pPr>
        <w:pStyle w:val="Zkladntext"/>
        <w:spacing w:before="0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 xml:space="preserve">  </w:t>
      </w:r>
    </w:p>
    <w:p w:rsidR="005D2718" w:rsidRDefault="005D2718" w:rsidP="005D2718">
      <w:pPr>
        <w:pStyle w:val="Zkladntext"/>
        <w:numPr>
          <w:ilvl w:val="0"/>
          <w:numId w:val="4"/>
        </w:numPr>
        <w:tabs>
          <w:tab w:val="left" w:pos="0"/>
        </w:tabs>
        <w:spacing w:before="0"/>
        <w:jc w:val="both"/>
        <w:rPr>
          <w:b w:val="0"/>
          <w:bCs w:val="0"/>
        </w:rPr>
      </w:pPr>
      <w:r>
        <w:rPr>
          <w:b w:val="0"/>
          <w:bCs w:val="0"/>
        </w:rPr>
        <w:t xml:space="preserve">Žádost o dotaci se městské části po skončení řízení nevrací. </w:t>
      </w:r>
    </w:p>
    <w:p w:rsidR="005D2718" w:rsidRDefault="005D2718" w:rsidP="005D2718">
      <w:pPr>
        <w:pStyle w:val="Nadpis2"/>
        <w:rPr>
          <w:i w:val="0"/>
          <w:i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  <w:r>
        <w:rPr>
          <w:i w:val="0"/>
          <w:iCs w:val="0"/>
        </w:rPr>
        <w:t>Článek V.</w:t>
      </w:r>
    </w:p>
    <w:p w:rsidR="005D2718" w:rsidRDefault="005D2718" w:rsidP="005D2718">
      <w:pPr>
        <w:pStyle w:val="Nadpis2"/>
        <w:jc w:val="center"/>
        <w:rPr>
          <w:i w:val="0"/>
          <w:iCs w:val="0"/>
        </w:rPr>
      </w:pPr>
      <w:r>
        <w:rPr>
          <w:i w:val="0"/>
          <w:iCs w:val="0"/>
        </w:rPr>
        <w:t>Zajištění procesu poskytnutí dotace</w:t>
      </w:r>
    </w:p>
    <w:p w:rsidR="005D2718" w:rsidRDefault="005D2718" w:rsidP="005D2718">
      <w:pPr>
        <w:pStyle w:val="Zkladntext"/>
        <w:numPr>
          <w:ilvl w:val="0"/>
          <w:numId w:val="5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Přijaty a evidovány budou pouze kompletní žádosti podané městskou částí na formuláři podle Článku IV. odst. 1. Městská část, jejíž žádost nebude splňovat podmínky grantového řízení, bude vyzvána k doplnění této žádosti. Termín doplnění žádosti bude do 5 kalendářních dnů od doručení výzvy. V případě, že nebude žádost doplněna ve stanoveném termínu, bude městská část z grantového řízení pro formální nedostatky vyřazena. </w:t>
      </w:r>
    </w:p>
    <w:p w:rsidR="005D2718" w:rsidRDefault="005D2718" w:rsidP="005D2718">
      <w:pPr>
        <w:pStyle w:val="Zkladntext"/>
        <w:numPr>
          <w:ilvl w:val="0"/>
          <w:numId w:val="5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>Výše poskytované dotace bude stanovena s ohledem na celkový počet obyvatel příslušné městské části s přihlédnutím k:</w:t>
      </w:r>
    </w:p>
    <w:p w:rsidR="005D2718" w:rsidRDefault="005D2718" w:rsidP="005D2718">
      <w:pPr>
        <w:pStyle w:val="Zkladntext"/>
        <w:numPr>
          <w:ilvl w:val="0"/>
          <w:numId w:val="10"/>
        </w:numPr>
        <w:tabs>
          <w:tab w:val="left" w:pos="0"/>
        </w:tabs>
        <w:spacing w:beforeLines="50"/>
        <w:jc w:val="both"/>
        <w:rPr>
          <w:b w:val="0"/>
          <w:bCs w:val="0"/>
        </w:rPr>
      </w:pPr>
      <w:r>
        <w:rPr>
          <w:b w:val="0"/>
          <w:bCs w:val="0"/>
        </w:rPr>
        <w:t xml:space="preserve">počtu obyvatel nad 65 let věku </w:t>
      </w:r>
      <w:r>
        <w:rPr>
          <w:b w:val="0"/>
          <w:bCs w:val="0"/>
          <w:i/>
        </w:rPr>
        <w:t xml:space="preserve">(zdroj registr obyvatel </w:t>
      </w:r>
      <w:r>
        <w:rPr>
          <w:b w:val="0"/>
          <w:bCs w:val="0"/>
        </w:rPr>
        <w:t>Prahy),</w:t>
      </w:r>
    </w:p>
    <w:p w:rsidR="005D2718" w:rsidRDefault="005D2718" w:rsidP="005D2718">
      <w:pPr>
        <w:pStyle w:val="Zkladntext"/>
        <w:numPr>
          <w:ilvl w:val="0"/>
          <w:numId w:val="10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počtu dětí a mládeže do 18 let </w:t>
      </w:r>
      <w:r>
        <w:rPr>
          <w:b w:val="0"/>
          <w:bCs w:val="0"/>
          <w:i/>
        </w:rPr>
        <w:t>(zdroj registr obyvatel Prahy)</w:t>
      </w:r>
      <w:r>
        <w:rPr>
          <w:b w:val="0"/>
          <w:bCs w:val="0"/>
        </w:rPr>
        <w:t>,</w:t>
      </w:r>
    </w:p>
    <w:p w:rsidR="005D2718" w:rsidRDefault="005D2718" w:rsidP="005D2718">
      <w:pPr>
        <w:pStyle w:val="Zkladntext"/>
        <w:numPr>
          <w:ilvl w:val="0"/>
          <w:numId w:val="10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počtu občanů pobírající příspěvky na péči, včetně počtu nevyřízených žádosti o příspěvky na péči </w:t>
      </w:r>
      <w:r>
        <w:rPr>
          <w:b w:val="0"/>
          <w:bCs w:val="0"/>
          <w:i/>
        </w:rPr>
        <w:t>(zdroj odbor zdravotnictví, sociální péče           a prevence Magistrátu hlavního města Prahy a městská část);</w:t>
      </w:r>
      <w:r>
        <w:rPr>
          <w:b w:val="0"/>
          <w:bCs w:val="0"/>
        </w:rPr>
        <w:t xml:space="preserve"> </w:t>
      </w:r>
    </w:p>
    <w:p w:rsidR="005D2718" w:rsidRDefault="005D2718" w:rsidP="005D2718">
      <w:pPr>
        <w:pStyle w:val="Zkladntext"/>
        <w:numPr>
          <w:ilvl w:val="0"/>
          <w:numId w:val="10"/>
        </w:numPr>
        <w:tabs>
          <w:tab w:val="left" w:pos="0"/>
        </w:tabs>
        <w:spacing w:beforeLines="50"/>
        <w:jc w:val="both"/>
        <w:rPr>
          <w:b w:val="0"/>
          <w:bCs w:val="0"/>
        </w:rPr>
      </w:pPr>
      <w:r>
        <w:rPr>
          <w:b w:val="0"/>
          <w:bCs w:val="0"/>
        </w:rPr>
        <w:t xml:space="preserve">počtu osob, které mají přiznané mimořádné výhody I. až III. st., včetně nevyřízených žádostí </w:t>
      </w:r>
      <w:r>
        <w:rPr>
          <w:b w:val="0"/>
          <w:bCs w:val="0"/>
          <w:i/>
        </w:rPr>
        <w:t xml:space="preserve">(zdroj odbor zdravotnictví, sociální péče a prevence Magistrátu hlavního města Prahy a městská část); </w:t>
      </w:r>
    </w:p>
    <w:p w:rsidR="005D2718" w:rsidRDefault="005D2718" w:rsidP="005D2718">
      <w:pPr>
        <w:pStyle w:val="Zkladntext"/>
        <w:numPr>
          <w:ilvl w:val="0"/>
          <w:numId w:val="10"/>
        </w:numPr>
        <w:tabs>
          <w:tab w:val="left" w:pos="0"/>
        </w:tabs>
        <w:spacing w:beforeLines="50"/>
        <w:jc w:val="both"/>
        <w:rPr>
          <w:b w:val="0"/>
          <w:bCs w:val="0"/>
        </w:rPr>
      </w:pPr>
      <w:r>
        <w:rPr>
          <w:b w:val="0"/>
          <w:bCs w:val="0"/>
        </w:rPr>
        <w:t xml:space="preserve">podpořeným druhům sociálních služeb (pečovatelská služba, nízkoprahová zařízení pro děti a mládež). </w:t>
      </w:r>
    </w:p>
    <w:p w:rsidR="005D2718" w:rsidRDefault="005D2718" w:rsidP="005D2718">
      <w:pPr>
        <w:pStyle w:val="Zkladntext"/>
        <w:tabs>
          <w:tab w:val="left" w:pos="0"/>
        </w:tabs>
        <w:spacing w:beforeLines="50"/>
        <w:jc w:val="both"/>
        <w:rPr>
          <w:b w:val="0"/>
          <w:bCs w:val="0"/>
          <w:color w:val="FF0000"/>
        </w:rPr>
      </w:pPr>
    </w:p>
    <w:p w:rsidR="005D2718" w:rsidRDefault="005D2718" w:rsidP="005D2718">
      <w:pPr>
        <w:pStyle w:val="Zkladntext"/>
        <w:numPr>
          <w:ilvl w:val="0"/>
          <w:numId w:val="5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O poskytnutí dotace rozhoduje Zastupitelstvo hlavního města Prahy. </w:t>
      </w:r>
    </w:p>
    <w:p w:rsidR="005D2718" w:rsidRDefault="005D2718" w:rsidP="005D2718">
      <w:pPr>
        <w:pStyle w:val="Zkladntext"/>
        <w:numPr>
          <w:ilvl w:val="0"/>
          <w:numId w:val="5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Výsledky grantového řízení budou zveřejněny nejpozději v měsíci květnu 2012                      na internetových stránkách  </w:t>
      </w:r>
      <w:hyperlink r:id="rId14" w:history="1">
        <w:r>
          <w:rPr>
            <w:rStyle w:val="Hypertextovodkaz"/>
            <w:b w:val="0"/>
          </w:rPr>
          <w:t>http://socialni.praha.eu</w:t>
        </w:r>
      </w:hyperlink>
      <w:r>
        <w:rPr>
          <w:b w:val="0"/>
          <w:bCs w:val="0"/>
        </w:rPr>
        <w:t xml:space="preserve">. </w:t>
      </w:r>
    </w:p>
    <w:p w:rsidR="005D2718" w:rsidRDefault="005D2718" w:rsidP="005D2718">
      <w:pPr>
        <w:pStyle w:val="Zkladntext"/>
        <w:tabs>
          <w:tab w:val="left" w:pos="0"/>
        </w:tabs>
        <w:jc w:val="both"/>
        <w:rPr>
          <w:b w:val="0"/>
          <w:b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  <w:r>
        <w:rPr>
          <w:i w:val="0"/>
          <w:iCs w:val="0"/>
        </w:rPr>
        <w:t>Článek VI.</w:t>
      </w:r>
    </w:p>
    <w:p w:rsidR="005D2718" w:rsidRDefault="005D2718" w:rsidP="005D2718">
      <w:pPr>
        <w:pStyle w:val="Nadpis2"/>
        <w:spacing w:after="120"/>
        <w:jc w:val="center"/>
        <w:rPr>
          <w:i w:val="0"/>
          <w:iCs w:val="0"/>
        </w:rPr>
      </w:pPr>
      <w:r>
        <w:rPr>
          <w:i w:val="0"/>
          <w:iCs w:val="0"/>
        </w:rPr>
        <w:t>Sledování, kontrola a vyúčtování dotace</w:t>
      </w:r>
    </w:p>
    <w:p w:rsidR="005D2718" w:rsidRDefault="005D2718" w:rsidP="005D2718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Městská část odpovídá za hospodárné použití finančních prostředků podle Článku II. odst. 2. </w:t>
      </w:r>
    </w:p>
    <w:p w:rsidR="005D2718" w:rsidRDefault="005D2718" w:rsidP="005D2718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>Městská část je povinna umožnit poskytovateli dotace průběžnou a následnou kontrolu čerpání a využití dotace. Při kontrole dodržování podmínek čerpání finančních prostředků z rozpočtu hlavního města Prahy se postupuje v souladu s jiným právním předpisem</w:t>
      </w:r>
      <w:r>
        <w:rPr>
          <w:rStyle w:val="Znakapoznpodarou"/>
          <w:b w:val="0"/>
        </w:rPr>
        <w:t>4</w:t>
      </w:r>
      <w:r>
        <w:rPr>
          <w:b w:val="0"/>
          <w:vertAlign w:val="superscript"/>
        </w:rPr>
        <w:t>)</w:t>
      </w:r>
      <w:r>
        <w:rPr>
          <w:b w:val="0"/>
          <w:bCs w:val="0"/>
        </w:rPr>
        <w:t xml:space="preserve">.  </w:t>
      </w:r>
    </w:p>
    <w:p w:rsidR="005D2718" w:rsidRDefault="005D2718" w:rsidP="005D2718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>Poskytnutá dotace, případně její poměrná část, musí být vrácena zpět poskytovateli dotace, v případě:</w:t>
      </w:r>
    </w:p>
    <w:p w:rsidR="005D2718" w:rsidRDefault="005D2718" w:rsidP="005D2718">
      <w:pPr>
        <w:pStyle w:val="Zkladntext"/>
        <w:numPr>
          <w:ilvl w:val="1"/>
          <w:numId w:val="2"/>
        </w:numPr>
        <w:tabs>
          <w:tab w:val="left" w:pos="0"/>
        </w:tabs>
        <w:spacing w:beforeLines="50" w:after="120"/>
        <w:ind w:left="1440"/>
        <w:jc w:val="both"/>
        <w:rPr>
          <w:b w:val="0"/>
        </w:rPr>
      </w:pPr>
      <w:r>
        <w:rPr>
          <w:b w:val="0"/>
        </w:rPr>
        <w:t>nevyužití schválené a poskytnuté dotace,</w:t>
      </w:r>
    </w:p>
    <w:p w:rsidR="005D2718" w:rsidRDefault="005D2718" w:rsidP="005D2718">
      <w:pPr>
        <w:pStyle w:val="Zkladntext"/>
        <w:numPr>
          <w:ilvl w:val="1"/>
          <w:numId w:val="2"/>
        </w:numPr>
        <w:tabs>
          <w:tab w:val="left" w:pos="0"/>
        </w:tabs>
        <w:spacing w:before="0" w:after="120"/>
        <w:jc w:val="both"/>
        <w:rPr>
          <w:b w:val="0"/>
          <w:bCs w:val="0"/>
        </w:rPr>
      </w:pPr>
      <w:r>
        <w:rPr>
          <w:b w:val="0"/>
          <w:bCs w:val="0"/>
        </w:rPr>
        <w:t>nedodržení účelu, podmínek a závazků stanovených poskytovatelem dotace v těchto pravidlech a podmínkách;</w:t>
      </w:r>
    </w:p>
    <w:p w:rsidR="005D2718" w:rsidRDefault="005D2718" w:rsidP="005D2718">
      <w:pPr>
        <w:pStyle w:val="Zkladntext"/>
        <w:numPr>
          <w:ilvl w:val="1"/>
          <w:numId w:val="2"/>
        </w:numPr>
        <w:tabs>
          <w:tab w:val="left" w:pos="0"/>
        </w:tabs>
        <w:spacing w:before="0" w:after="120"/>
        <w:jc w:val="both"/>
        <w:rPr>
          <w:b w:val="0"/>
          <w:bCs w:val="0"/>
        </w:rPr>
      </w:pPr>
      <w:r>
        <w:rPr>
          <w:b w:val="0"/>
          <w:bCs w:val="0"/>
        </w:rPr>
        <w:t>že údaje, na jejichž základě byla dotace poskytnuta, byly neúplné               nebo nepravdivé;</w:t>
      </w:r>
    </w:p>
    <w:p w:rsidR="005D2718" w:rsidRDefault="005D2718" w:rsidP="005D2718">
      <w:pPr>
        <w:pStyle w:val="Zkladntext"/>
        <w:numPr>
          <w:ilvl w:val="1"/>
          <w:numId w:val="2"/>
        </w:numPr>
        <w:tabs>
          <w:tab w:val="left" w:pos="0"/>
        </w:tabs>
        <w:spacing w:before="0" w:after="120"/>
        <w:jc w:val="both"/>
        <w:rPr>
          <w:b w:val="0"/>
          <w:bCs w:val="0"/>
        </w:rPr>
      </w:pPr>
      <w:r>
        <w:rPr>
          <w:b w:val="0"/>
          <w:bCs w:val="0"/>
        </w:rPr>
        <w:t>že dotace byla poskytnuta v rozporu se zvláštními právními předpisy.</w:t>
      </w:r>
    </w:p>
    <w:p w:rsidR="005D2718" w:rsidRDefault="005D2718" w:rsidP="005D2718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Městská část je povinna přidělené finanční prostředky řádně vyúčtovat k 31. 12. 2012   a  na předepsaném formuláři (bude dostupný na internetové adrese </w:t>
      </w:r>
      <w:hyperlink r:id="rId15" w:history="1">
        <w:r>
          <w:rPr>
            <w:rStyle w:val="Hypertextovodkaz"/>
            <w:b w:val="0"/>
          </w:rPr>
          <w:t>http://socialni.praha.eu/jnp/cz/financovani_socialni_oblasti/granty_hmp/grantove_rizeni_pro_rok_2012/</w:t>
        </w:r>
      </w:hyperlink>
      <w:r>
        <w:rPr>
          <w:b w:val="0"/>
        </w:rPr>
        <w:t>)</w:t>
      </w:r>
      <w:r>
        <w:rPr>
          <w:b w:val="0"/>
          <w:bCs w:val="0"/>
        </w:rPr>
        <w:t xml:space="preserve"> je předložit odboru sociální péče a zdravotnictví Magistrátu hlavního města Prahy nejpozději do 8. 2. 2013. Nevyčerpané finanční prostředky je městská část povinna vrátit na účet hlavního města  Prahy: 5157998/6000, k.s.: 558, v.s.: IČ městské části, v rámci finančního vypořádání za rok 2012.</w:t>
      </w:r>
    </w:p>
    <w:p w:rsidR="005D2718" w:rsidRDefault="005D2718" w:rsidP="005D2718">
      <w:pPr>
        <w:pStyle w:val="Zkladntext"/>
        <w:tabs>
          <w:tab w:val="left" w:pos="0"/>
        </w:tabs>
        <w:jc w:val="both"/>
        <w:rPr>
          <w:b w:val="0"/>
          <w:b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</w:p>
    <w:p w:rsidR="005D2718" w:rsidRDefault="005D2718" w:rsidP="005D2718">
      <w:pPr>
        <w:pStyle w:val="Nadpis2"/>
        <w:spacing w:before="240"/>
        <w:jc w:val="center"/>
        <w:rPr>
          <w:i w:val="0"/>
          <w:iCs w:val="0"/>
        </w:rPr>
      </w:pPr>
      <w:r>
        <w:rPr>
          <w:i w:val="0"/>
          <w:iCs w:val="0"/>
        </w:rPr>
        <w:t>Článek VII.</w:t>
      </w:r>
    </w:p>
    <w:p w:rsidR="005D2718" w:rsidRDefault="005D2718" w:rsidP="005D2718">
      <w:pPr>
        <w:pStyle w:val="Nadpis2"/>
        <w:spacing w:after="120"/>
        <w:jc w:val="center"/>
        <w:rPr>
          <w:i w:val="0"/>
          <w:iCs w:val="0"/>
        </w:rPr>
      </w:pPr>
      <w:r>
        <w:rPr>
          <w:i w:val="0"/>
          <w:iCs w:val="0"/>
        </w:rPr>
        <w:t>Harmonogram</w:t>
      </w:r>
    </w:p>
    <w:p w:rsidR="005D2718" w:rsidRDefault="005D2718" w:rsidP="005D2718">
      <w:pPr>
        <w:pStyle w:val="Zkladntext"/>
        <w:tabs>
          <w:tab w:val="left" w:pos="0"/>
        </w:tabs>
        <w:jc w:val="both"/>
        <w:rPr>
          <w:b w:val="0"/>
          <w:bCs w:val="0"/>
        </w:rPr>
      </w:pPr>
    </w:p>
    <w:tbl>
      <w:tblPr>
        <w:tblpPr w:leftFromText="141" w:rightFromText="141" w:vertAnchor="text" w:horzAnchor="margin" w:tblpXSpec="center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2040"/>
      </w:tblGrid>
      <w:tr w:rsidR="005D2718" w:rsidTr="000005F2">
        <w:tc>
          <w:tcPr>
            <w:tcW w:w="5650" w:type="dxa"/>
            <w:shd w:val="clear" w:color="auto" w:fill="E6E6E6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</w:pPr>
            <w:r>
              <w:t>Program J5</w:t>
            </w:r>
          </w:p>
        </w:tc>
        <w:tc>
          <w:tcPr>
            <w:tcW w:w="2040" w:type="dxa"/>
            <w:shd w:val="clear" w:color="auto" w:fill="E6E6E6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Cs w:val="0"/>
              </w:rPr>
            </w:pPr>
            <w:r>
              <w:rPr>
                <w:bCs w:val="0"/>
              </w:rPr>
              <w:t>Termín:</w:t>
            </w:r>
          </w:p>
        </w:tc>
      </w:tr>
      <w:tr w:rsidR="005D2718" w:rsidTr="000005F2">
        <w:tc>
          <w:tcPr>
            <w:tcW w:w="5650" w:type="dxa"/>
            <w:vAlign w:val="center"/>
          </w:tcPr>
          <w:p w:rsidR="005D2718" w:rsidRDefault="005D2718" w:rsidP="000005F2">
            <w:r>
              <w:rPr>
                <w:bCs/>
              </w:rPr>
              <w:t>Vyhlášení grantového řízení</w:t>
            </w:r>
          </w:p>
        </w:tc>
        <w:tc>
          <w:tcPr>
            <w:tcW w:w="2040" w:type="dxa"/>
            <w:vAlign w:val="center"/>
          </w:tcPr>
          <w:p w:rsidR="005D2718" w:rsidRDefault="00EC068F" w:rsidP="000005F2">
            <w:pPr>
              <w:pStyle w:val="Nadpis3"/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duben</w:t>
            </w:r>
            <w:r w:rsidR="005D2718">
              <w:rPr>
                <w:b w:val="0"/>
                <w:bCs w:val="0"/>
              </w:rPr>
              <w:t xml:space="preserve"> 2012</w:t>
            </w:r>
          </w:p>
        </w:tc>
      </w:tr>
      <w:tr w:rsidR="005D2718" w:rsidTr="000005F2">
        <w:tc>
          <w:tcPr>
            <w:tcW w:w="5650" w:type="dxa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Ukončení přijímání žádostí</w:t>
            </w:r>
          </w:p>
        </w:tc>
        <w:tc>
          <w:tcPr>
            <w:tcW w:w="2040" w:type="dxa"/>
            <w:vAlign w:val="center"/>
          </w:tcPr>
          <w:p w:rsidR="005D2718" w:rsidRDefault="00EC068F" w:rsidP="000005F2">
            <w:pPr>
              <w:pStyle w:val="Nadpis3"/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květen</w:t>
            </w:r>
            <w:r w:rsidR="005D2718">
              <w:rPr>
                <w:b w:val="0"/>
                <w:bCs w:val="0"/>
              </w:rPr>
              <w:t xml:space="preserve"> 2012</w:t>
            </w:r>
          </w:p>
        </w:tc>
      </w:tr>
      <w:tr w:rsidR="005D2718" w:rsidTr="000005F2">
        <w:tc>
          <w:tcPr>
            <w:tcW w:w="5650" w:type="dxa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Evidence a  formální hodnocení přijatých žádostí </w:t>
            </w:r>
          </w:p>
        </w:tc>
        <w:tc>
          <w:tcPr>
            <w:tcW w:w="2040" w:type="dxa"/>
            <w:vAlign w:val="center"/>
          </w:tcPr>
          <w:p w:rsidR="005D2718" w:rsidRDefault="00EC068F" w:rsidP="000005F2">
            <w:pPr>
              <w:pStyle w:val="Nadpis3"/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květen</w:t>
            </w:r>
            <w:r w:rsidR="005D2718">
              <w:rPr>
                <w:b w:val="0"/>
                <w:bCs w:val="0"/>
              </w:rPr>
              <w:t xml:space="preserve"> 2012</w:t>
            </w:r>
          </w:p>
        </w:tc>
      </w:tr>
      <w:tr w:rsidR="005D2718" w:rsidTr="000005F2">
        <w:tc>
          <w:tcPr>
            <w:tcW w:w="5650" w:type="dxa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Posouzení žádostí</w:t>
            </w:r>
          </w:p>
        </w:tc>
        <w:tc>
          <w:tcPr>
            <w:tcW w:w="2040" w:type="dxa"/>
            <w:vAlign w:val="center"/>
          </w:tcPr>
          <w:p w:rsidR="005D2718" w:rsidRDefault="00EC068F" w:rsidP="000005F2">
            <w:pPr>
              <w:pStyle w:val="Nadpis3"/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květen - červ</w:t>
            </w:r>
            <w:r w:rsidR="005D2718">
              <w:rPr>
                <w:b w:val="0"/>
                <w:bCs w:val="0"/>
              </w:rPr>
              <w:t>en 2012</w:t>
            </w:r>
          </w:p>
        </w:tc>
      </w:tr>
      <w:tr w:rsidR="005D2718" w:rsidTr="000005F2">
        <w:tc>
          <w:tcPr>
            <w:tcW w:w="5650" w:type="dxa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Výbor pro  zdravotnictví, sociální a bytovou politiku Zastupitelstva HMP, Rada HMP, Zastupitelstvo HMP</w:t>
            </w:r>
          </w:p>
        </w:tc>
        <w:tc>
          <w:tcPr>
            <w:tcW w:w="2040" w:type="dxa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červen 2012</w:t>
            </w:r>
          </w:p>
        </w:tc>
      </w:tr>
      <w:tr w:rsidR="005D2718" w:rsidTr="000005F2">
        <w:tc>
          <w:tcPr>
            <w:tcW w:w="5650" w:type="dxa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Zveřejnění výsledků</w:t>
            </w:r>
          </w:p>
        </w:tc>
        <w:tc>
          <w:tcPr>
            <w:tcW w:w="2040" w:type="dxa"/>
            <w:vAlign w:val="center"/>
          </w:tcPr>
          <w:p w:rsidR="005D2718" w:rsidRDefault="005D2718" w:rsidP="000005F2">
            <w:pPr>
              <w:pStyle w:val="Nadpis3"/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červen 2012</w:t>
            </w:r>
          </w:p>
        </w:tc>
      </w:tr>
    </w:tbl>
    <w:p w:rsidR="005D2718" w:rsidRDefault="005D2718" w:rsidP="005D2718">
      <w:pPr>
        <w:pStyle w:val="Zkladntext"/>
        <w:tabs>
          <w:tab w:val="left" w:pos="0"/>
        </w:tabs>
        <w:jc w:val="both"/>
        <w:rPr>
          <w:b w:val="0"/>
          <w:bCs w:val="0"/>
        </w:rPr>
      </w:pPr>
    </w:p>
    <w:p w:rsidR="008C4EC5" w:rsidRDefault="008C4EC5"/>
    <w:sectPr w:rsidR="008C4EC5" w:rsidSect="00111B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202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39" w:rsidRDefault="00DB1A39" w:rsidP="005D2718">
      <w:r>
        <w:separator/>
      </w:r>
    </w:p>
  </w:endnote>
  <w:endnote w:type="continuationSeparator" w:id="0">
    <w:p w:rsidR="00DB1A39" w:rsidRDefault="00DB1A39" w:rsidP="005D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AC" w:rsidRDefault="00427F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B1A3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BAC" w:rsidRDefault="00111BAC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AC" w:rsidRDefault="00427F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B1A3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1576">
      <w:rPr>
        <w:rStyle w:val="slostrnky"/>
        <w:noProof/>
      </w:rPr>
      <w:t>4</w:t>
    </w:r>
    <w:r>
      <w:rPr>
        <w:rStyle w:val="slostrnky"/>
      </w:rPr>
      <w:fldChar w:fldCharType="end"/>
    </w:r>
  </w:p>
  <w:p w:rsidR="00111BAC" w:rsidRDefault="00DB1A3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                          </w:t>
    </w:r>
  </w:p>
  <w:p w:rsidR="00111BAC" w:rsidRDefault="00DB1A39">
    <w:pPr>
      <w:pStyle w:val="Zpat"/>
      <w:ind w:right="360"/>
      <w:rPr>
        <w:rStyle w:val="slostrnky"/>
      </w:rPr>
    </w:pPr>
    <w:r>
      <w:rPr>
        <w:rStyle w:val="slostrnky"/>
      </w:rPr>
      <w:t xml:space="preserve">   </w:t>
    </w:r>
  </w:p>
  <w:p w:rsidR="00111BAC" w:rsidRDefault="00DB1A39">
    <w:pPr>
      <w:pStyle w:val="Zpat"/>
      <w:ind w:right="360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Pravidla a podmínky pro poskytnutí dotace hlavního města Prahy v sociální  oblasti pro rok 2011 – </w:t>
    </w:r>
    <w:r>
      <w:rPr>
        <w:rFonts w:ascii="Arial" w:hAnsi="Arial"/>
        <w:sz w:val="16"/>
        <w:szCs w:val="16"/>
      </w:rPr>
      <w:t xml:space="preserve">Program J5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AC" w:rsidRDefault="00DB1A39">
    <w:pPr>
      <w:pStyle w:val="Zpat"/>
    </w:pPr>
    <w:r>
      <w:t>1</w:t>
    </w:r>
  </w:p>
  <w:p w:rsidR="00111BAC" w:rsidRDefault="00DB1A39">
    <w:pPr>
      <w:pStyle w:val="Zpat"/>
    </w:pPr>
    <w:r>
      <w:rPr>
        <w:rFonts w:ascii="Arial" w:hAnsi="Arial" w:cs="Arial"/>
        <w:sz w:val="16"/>
        <w:szCs w:val="16"/>
      </w:rPr>
      <w:t xml:space="preserve">Pravidla a podmínky pro poskytnutí dotace hlavního města Prahy v sociální  oblasti pro rok 2011 – </w:t>
    </w:r>
    <w:r>
      <w:rPr>
        <w:rFonts w:ascii="Arial" w:hAnsi="Arial"/>
        <w:sz w:val="16"/>
        <w:szCs w:val="16"/>
      </w:rPr>
      <w:t>Program J5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39" w:rsidRDefault="00DB1A39" w:rsidP="005D2718">
      <w:r>
        <w:separator/>
      </w:r>
    </w:p>
  </w:footnote>
  <w:footnote w:type="continuationSeparator" w:id="0">
    <w:p w:rsidR="00DB1A39" w:rsidRDefault="00DB1A39" w:rsidP="005D2718">
      <w:r>
        <w:continuationSeparator/>
      </w:r>
    </w:p>
  </w:footnote>
  <w:footnote w:id="1">
    <w:p w:rsidR="005D2718" w:rsidRDefault="005D2718" w:rsidP="005D2718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563/1991 Sb., o účetnictví, ve znění pozdějších předpisů.</w:t>
      </w:r>
    </w:p>
  </w:footnote>
  <w:footnote w:id="2">
    <w:p w:rsidR="005D2718" w:rsidRDefault="005D2718" w:rsidP="005D2718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586/1992 Sb., o daních z příjmu, ve znění pozdějších předpisů.</w:t>
      </w:r>
    </w:p>
  </w:footnote>
  <w:footnote w:id="3">
    <w:p w:rsidR="005D2718" w:rsidRDefault="005D2718" w:rsidP="005D2718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262/2006 Sb., zákoník práce, ve znění pozdějších předpisů.</w:t>
      </w:r>
    </w:p>
  </w:footnote>
  <w:footnote w:id="4">
    <w:p w:rsidR="005D2718" w:rsidRDefault="005D2718" w:rsidP="005D2718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320/2001 Sb., o finanční kontrole ve veřejné správě a o změnách některých zákonů (zákon o finanční kontrole),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7B" w:rsidRDefault="00B83D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7B" w:rsidRDefault="00B83D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AC" w:rsidRPr="00B83D7B" w:rsidRDefault="00DB1A39">
    <w:pPr>
      <w:pStyle w:val="Zhlav"/>
      <w:rPr>
        <w:u w:val="single"/>
      </w:rPr>
    </w:pPr>
    <w:r w:rsidRPr="00B83D7B">
      <w:rPr>
        <w:i/>
        <w:u w:val="single"/>
      </w:rPr>
      <w:t>Příloha</w:t>
    </w:r>
    <w:r w:rsidR="00574A2C">
      <w:rPr>
        <w:i/>
        <w:u w:val="single"/>
      </w:rPr>
      <w:t xml:space="preserve"> č. 1 k usnesení Rady HMP č. 408 </w:t>
    </w:r>
    <w:r w:rsidRPr="00B83D7B">
      <w:rPr>
        <w:i/>
        <w:u w:val="single"/>
      </w:rPr>
      <w:t>ze dne</w:t>
    </w:r>
    <w:r w:rsidR="00B83D7B">
      <w:rPr>
        <w:i/>
        <w:u w:val="single"/>
      </w:rPr>
      <w:t xml:space="preserve"> 10. 4. 2012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4B4"/>
    <w:multiLevelType w:val="hybridMultilevel"/>
    <w:tmpl w:val="CF92A16E"/>
    <w:lvl w:ilvl="0" w:tplc="0C4651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1" w:tplc="E3609352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DE42D9"/>
    <w:multiLevelType w:val="hybridMultilevel"/>
    <w:tmpl w:val="D3948A88"/>
    <w:lvl w:ilvl="0" w:tplc="AEDEFA1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97EA8AD4">
      <w:start w:val="1"/>
      <w:numFmt w:val="bullet"/>
      <w:lvlText w:val=""/>
      <w:lvlJc w:val="left"/>
      <w:pPr>
        <w:tabs>
          <w:tab w:val="num" w:pos="1080"/>
        </w:tabs>
        <w:ind w:left="1307" w:hanging="227"/>
      </w:pPr>
      <w:rPr>
        <w:rFonts w:ascii="Wingdings" w:hAnsi="Wingdings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952671"/>
    <w:multiLevelType w:val="hybridMultilevel"/>
    <w:tmpl w:val="2D8EEEF8"/>
    <w:lvl w:ilvl="0" w:tplc="BCFA40B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D8E2D33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 w:tplc="22E2BAE8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6052A982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F6224F"/>
    <w:multiLevelType w:val="hybridMultilevel"/>
    <w:tmpl w:val="C00AF8C0"/>
    <w:lvl w:ilvl="0" w:tplc="62560C0A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FE3F30"/>
    <w:multiLevelType w:val="hybridMultilevel"/>
    <w:tmpl w:val="02D2A60C"/>
    <w:lvl w:ilvl="0" w:tplc="04050017">
      <w:start w:val="1"/>
      <w:numFmt w:val="lowerLetter"/>
      <w:lvlText w:val="%1)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5">
    <w:nsid w:val="52834338"/>
    <w:multiLevelType w:val="hybridMultilevel"/>
    <w:tmpl w:val="91BC6C70"/>
    <w:lvl w:ilvl="0" w:tplc="602262D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B620E22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cs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611D10"/>
    <w:multiLevelType w:val="hybridMultilevel"/>
    <w:tmpl w:val="6ADE4880"/>
    <w:lvl w:ilvl="0" w:tplc="2272F4DC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892879"/>
    <w:multiLevelType w:val="hybridMultilevel"/>
    <w:tmpl w:val="E3664FFA"/>
    <w:lvl w:ilvl="0" w:tplc="040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cs="Times New Roman"/>
      </w:rPr>
    </w:lvl>
  </w:abstractNum>
  <w:abstractNum w:abstractNumId="8">
    <w:nsid w:val="5AFA6D45"/>
    <w:multiLevelType w:val="hybridMultilevel"/>
    <w:tmpl w:val="7D6C0D1A"/>
    <w:lvl w:ilvl="0" w:tplc="472A858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B35275"/>
    <w:multiLevelType w:val="hybridMultilevel"/>
    <w:tmpl w:val="2F625084"/>
    <w:lvl w:ilvl="0" w:tplc="5B96F95C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18"/>
    <w:rsid w:val="00061576"/>
    <w:rsid w:val="00111BAC"/>
    <w:rsid w:val="00427FC3"/>
    <w:rsid w:val="00574A2C"/>
    <w:rsid w:val="005D2718"/>
    <w:rsid w:val="007A60BE"/>
    <w:rsid w:val="008C4EC5"/>
    <w:rsid w:val="00B83D7B"/>
    <w:rsid w:val="00BC1192"/>
    <w:rsid w:val="00DB1A39"/>
    <w:rsid w:val="00EC068F"/>
    <w:rsid w:val="00F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271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5D2718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qFormat/>
    <w:rsid w:val="005D2718"/>
    <w:pPr>
      <w:keepNext/>
      <w:spacing w:line="360" w:lineRule="auto"/>
      <w:jc w:val="center"/>
      <w:outlineLvl w:val="2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D2718"/>
    <w:pPr>
      <w:keepNext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2718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5D27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D271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D27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D271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basedOn w:val="Standardnpsmoodstavce"/>
    <w:semiHidden/>
    <w:rsid w:val="005D2718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5D27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27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D2718"/>
    <w:rPr>
      <w:rFonts w:cs="Times New Roman"/>
      <w:vertAlign w:val="superscript"/>
    </w:rPr>
  </w:style>
  <w:style w:type="paragraph" w:styleId="Zhlav">
    <w:name w:val="header"/>
    <w:basedOn w:val="Normln"/>
    <w:link w:val="ZhlavChar"/>
    <w:semiHidden/>
    <w:rsid w:val="005D27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D27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5D27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D27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5D2718"/>
    <w:rPr>
      <w:rFonts w:cs="Times New Roman"/>
    </w:rPr>
  </w:style>
  <w:style w:type="paragraph" w:styleId="Zkladntext">
    <w:name w:val="Body Text"/>
    <w:basedOn w:val="Normln"/>
    <w:link w:val="ZkladntextChar"/>
    <w:semiHidden/>
    <w:rsid w:val="005D2718"/>
    <w:pPr>
      <w:spacing w:before="120"/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D27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271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5D2718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qFormat/>
    <w:rsid w:val="005D2718"/>
    <w:pPr>
      <w:keepNext/>
      <w:spacing w:line="360" w:lineRule="auto"/>
      <w:jc w:val="center"/>
      <w:outlineLvl w:val="2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D2718"/>
    <w:pPr>
      <w:keepNext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2718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5D27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D271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D27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D271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basedOn w:val="Standardnpsmoodstavce"/>
    <w:semiHidden/>
    <w:rsid w:val="005D2718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5D27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27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D2718"/>
    <w:rPr>
      <w:rFonts w:cs="Times New Roman"/>
      <w:vertAlign w:val="superscript"/>
    </w:rPr>
  </w:style>
  <w:style w:type="paragraph" w:styleId="Zhlav">
    <w:name w:val="header"/>
    <w:basedOn w:val="Normln"/>
    <w:link w:val="ZhlavChar"/>
    <w:semiHidden/>
    <w:rsid w:val="005D27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D27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5D27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D27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5D2718"/>
    <w:rPr>
      <w:rFonts w:cs="Times New Roman"/>
    </w:rPr>
  </w:style>
  <w:style w:type="paragraph" w:styleId="Zkladntext">
    <w:name w:val="Body Text"/>
    <w:basedOn w:val="Normln"/>
    <w:link w:val="ZkladntextChar"/>
    <w:semiHidden/>
    <w:rsid w:val="005D2718"/>
    <w:pPr>
      <w:spacing w:before="120"/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D27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2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1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vetta.slovakova@praha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tomas.klinecky@praha.e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mas.klinecky@praha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ocialni.praha.eu/jnp/cz/financovani_socialni_oblasti/granty_hmp/grantove_rizeni_pro_rok_20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ocialni.praha.eu/jnp/cz/financovani_socialni_oblasti/granty_hmp/grantove_rizeni_pro_rok_2012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socialni.praha.eu" TargetMode="External"/><Relationship Id="rId14" Type="http://schemas.openxmlformats.org/officeDocument/2006/relationships/hyperlink" Target="http://socialni.praha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04596-7792-4E63-8B69-FC0B5425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Klinecký Tomáš (MHMP)</dc:creator>
  <cp:lastModifiedBy>Klinecký Tomáš (MHMP)</cp:lastModifiedBy>
  <cp:revision>2</cp:revision>
  <cp:lastPrinted>2012-04-10T09:29:00Z</cp:lastPrinted>
  <dcterms:created xsi:type="dcterms:W3CDTF">2012-04-10T11:46:00Z</dcterms:created>
  <dcterms:modified xsi:type="dcterms:W3CDTF">2012-04-10T11:46:00Z</dcterms:modified>
</cp:coreProperties>
</file>