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4F9" w:rsidRPr="00487DAF" w:rsidRDefault="00487DAF">
      <w:pPr>
        <w:rPr>
          <w:rFonts w:ascii="Times New Roman" w:hAnsi="Times New Roman" w:cs="Times New Roman"/>
          <w:i/>
          <w:u w:val="single"/>
        </w:rPr>
      </w:pPr>
      <w:bookmarkStart w:id="0" w:name="_GoBack"/>
      <w:bookmarkEnd w:id="0"/>
      <w:r w:rsidRPr="00487DAF">
        <w:rPr>
          <w:rFonts w:ascii="Times New Roman" w:hAnsi="Times New Roman" w:cs="Times New Roman"/>
          <w:i/>
          <w:u w:val="single"/>
        </w:rPr>
        <w:t>Příloha č. 1 k usnesení Komise Rady hl. m. Prahy pro udělování grantů hl. m. Prahy v oblasti kultury a umění ze dne 8. 1. 2021</w:t>
      </w:r>
    </w:p>
    <w:tbl>
      <w:tblPr>
        <w:tblW w:w="14743" w:type="dxa"/>
        <w:tblInd w:w="-150" w:type="dxa"/>
        <w:tblBorders>
          <w:top w:val="single" w:sz="4" w:space="0" w:color="000000"/>
          <w:left w:val="single" w:sz="4" w:space="0" w:color="000000"/>
          <w:bottom w:val="single" w:sz="4" w:space="0" w:color="000000"/>
          <w:right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851"/>
        <w:gridCol w:w="2266"/>
        <w:gridCol w:w="2694"/>
        <w:gridCol w:w="2268"/>
        <w:gridCol w:w="20"/>
        <w:gridCol w:w="8"/>
        <w:gridCol w:w="1249"/>
        <w:gridCol w:w="1276"/>
        <w:gridCol w:w="992"/>
        <w:gridCol w:w="1134"/>
        <w:gridCol w:w="992"/>
        <w:gridCol w:w="993"/>
      </w:tblGrid>
      <w:tr w:rsidR="00487DAF" w:rsidRPr="00B83267" w:rsidTr="00564D75">
        <w:tc>
          <w:tcPr>
            <w:tcW w:w="14743" w:type="dxa"/>
            <w:gridSpan w:val="12"/>
            <w:tcBorders>
              <w:top w:val="single" w:sz="6" w:space="0" w:color="000000"/>
              <w:left w:val="single" w:sz="6" w:space="0" w:color="000000"/>
              <w:bottom w:val="single" w:sz="6" w:space="0" w:color="000000"/>
              <w:right w:val="single" w:sz="6" w:space="0" w:color="000000"/>
            </w:tcBorders>
            <w:vAlign w:val="center"/>
          </w:tcPr>
          <w:p w:rsidR="00487DAF" w:rsidRPr="00B83267" w:rsidRDefault="00487DAF" w:rsidP="00564D75">
            <w:pPr>
              <w:jc w:val="center"/>
              <w:rPr>
                <w:rFonts w:ascii="Times New Roman" w:eastAsia="Times New Roman" w:hAnsi="Times New Roman"/>
                <w:b/>
                <w:bCs/>
                <w:sz w:val="28"/>
                <w:szCs w:val="28"/>
              </w:rPr>
            </w:pPr>
            <w:r>
              <w:rPr>
                <w:rFonts w:ascii="Times New Roman" w:eastAsia="Times New Roman" w:hAnsi="Times New Roman"/>
                <w:b/>
                <w:bCs/>
                <w:sz w:val="28"/>
                <w:szCs w:val="28"/>
              </w:rPr>
              <w:t>Nové znění stanoviska GK k jednoletým neinvestičním grantům hl. m. Prahy v oblasti kultury a umění pro rok 2021</w:t>
            </w:r>
          </w:p>
        </w:tc>
      </w:tr>
      <w:tr w:rsidR="00487DAF" w:rsidRPr="00B83267" w:rsidTr="0018072A">
        <w:tc>
          <w:tcPr>
            <w:tcW w:w="851" w:type="dxa"/>
            <w:tcBorders>
              <w:top w:val="single" w:sz="6" w:space="0" w:color="000000"/>
              <w:left w:val="single" w:sz="6" w:space="0" w:color="000000"/>
              <w:bottom w:val="single" w:sz="6" w:space="0" w:color="000000"/>
              <w:right w:val="single" w:sz="6" w:space="0" w:color="000000"/>
            </w:tcBorders>
            <w:vAlign w:val="center"/>
            <w:hideMark/>
          </w:tcPr>
          <w:p w:rsidR="00487DAF" w:rsidRPr="00B83267" w:rsidRDefault="00487DAF" w:rsidP="00487DAF">
            <w:pPr>
              <w:jc w:val="center"/>
              <w:rPr>
                <w:rFonts w:ascii="Times New Roman" w:eastAsia="Times New Roman" w:hAnsi="Times New Roman"/>
                <w:b/>
                <w:bCs/>
                <w:szCs w:val="20"/>
              </w:rPr>
            </w:pPr>
            <w:proofErr w:type="spellStart"/>
            <w:r>
              <w:rPr>
                <w:rFonts w:ascii="Times New Roman" w:eastAsia="Times New Roman" w:hAnsi="Times New Roman"/>
                <w:b/>
                <w:bCs/>
                <w:szCs w:val="20"/>
              </w:rPr>
              <w:t>Poř</w:t>
            </w:r>
            <w:proofErr w:type="spellEnd"/>
            <w:r>
              <w:rPr>
                <w:rFonts w:ascii="Times New Roman" w:eastAsia="Times New Roman" w:hAnsi="Times New Roman"/>
                <w:b/>
                <w:bCs/>
                <w:szCs w:val="20"/>
              </w:rPr>
              <w:t>. č.</w:t>
            </w:r>
          </w:p>
        </w:tc>
        <w:tc>
          <w:tcPr>
            <w:tcW w:w="2266" w:type="dxa"/>
            <w:tcBorders>
              <w:top w:val="single" w:sz="6" w:space="0" w:color="000000"/>
              <w:left w:val="single" w:sz="6" w:space="0" w:color="000000"/>
              <w:bottom w:val="single" w:sz="6" w:space="0" w:color="000000"/>
              <w:right w:val="single" w:sz="6" w:space="0" w:color="000000"/>
            </w:tcBorders>
            <w:vAlign w:val="center"/>
          </w:tcPr>
          <w:p w:rsidR="00487DAF" w:rsidRPr="00B83267" w:rsidRDefault="00487DAF" w:rsidP="00487DAF">
            <w:pPr>
              <w:jc w:val="center"/>
              <w:rPr>
                <w:rFonts w:ascii="Times New Roman" w:eastAsia="Times New Roman" w:hAnsi="Times New Roman"/>
                <w:b/>
                <w:bCs/>
                <w:szCs w:val="20"/>
              </w:rPr>
            </w:pPr>
            <w:r>
              <w:rPr>
                <w:rFonts w:ascii="Times New Roman" w:eastAsia="Times New Roman" w:hAnsi="Times New Roman"/>
                <w:b/>
                <w:bCs/>
                <w:szCs w:val="20"/>
              </w:rPr>
              <w:t>Č. j. spisu</w:t>
            </w:r>
          </w:p>
        </w:tc>
        <w:tc>
          <w:tcPr>
            <w:tcW w:w="2694" w:type="dxa"/>
            <w:tcBorders>
              <w:top w:val="single" w:sz="6" w:space="0" w:color="000000"/>
              <w:left w:val="single" w:sz="6" w:space="0" w:color="000000"/>
              <w:bottom w:val="single" w:sz="6" w:space="0" w:color="000000"/>
              <w:right w:val="single" w:sz="6" w:space="0" w:color="000000"/>
            </w:tcBorders>
            <w:vAlign w:val="center"/>
          </w:tcPr>
          <w:p w:rsidR="00487DAF" w:rsidRPr="00B83267" w:rsidRDefault="00487DAF" w:rsidP="00487DAF">
            <w:pPr>
              <w:jc w:val="center"/>
              <w:rPr>
                <w:rFonts w:ascii="Times New Roman" w:eastAsia="Times New Roman" w:hAnsi="Times New Roman"/>
                <w:b/>
                <w:bCs/>
                <w:szCs w:val="20"/>
              </w:rPr>
            </w:pPr>
            <w:r>
              <w:rPr>
                <w:rFonts w:ascii="Times New Roman" w:eastAsia="Times New Roman" w:hAnsi="Times New Roman"/>
                <w:b/>
                <w:bCs/>
                <w:szCs w:val="20"/>
              </w:rPr>
              <w:t xml:space="preserve">IČO - </w:t>
            </w:r>
            <w:r w:rsidRPr="00B83267">
              <w:rPr>
                <w:rFonts w:ascii="Times New Roman" w:eastAsia="Times New Roman" w:hAnsi="Times New Roman"/>
                <w:b/>
                <w:bCs/>
                <w:szCs w:val="20"/>
              </w:rPr>
              <w:t>Žadatel</w:t>
            </w:r>
          </w:p>
        </w:tc>
        <w:tc>
          <w:tcPr>
            <w:tcW w:w="2288" w:type="dxa"/>
            <w:gridSpan w:val="2"/>
            <w:tcBorders>
              <w:top w:val="single" w:sz="6" w:space="0" w:color="000000"/>
              <w:left w:val="single" w:sz="6" w:space="0" w:color="000000"/>
              <w:bottom w:val="single" w:sz="6" w:space="0" w:color="000000"/>
              <w:right w:val="single" w:sz="6" w:space="0" w:color="000000"/>
            </w:tcBorders>
            <w:vAlign w:val="center"/>
            <w:hideMark/>
          </w:tcPr>
          <w:p w:rsidR="00487DAF" w:rsidRPr="00B83267" w:rsidRDefault="00487DAF" w:rsidP="00487DAF">
            <w:pPr>
              <w:jc w:val="center"/>
              <w:rPr>
                <w:rFonts w:ascii="Times New Roman" w:eastAsia="Times New Roman" w:hAnsi="Times New Roman"/>
                <w:b/>
                <w:bCs/>
                <w:szCs w:val="20"/>
              </w:rPr>
            </w:pPr>
            <w:r w:rsidRPr="00B83267">
              <w:rPr>
                <w:rFonts w:ascii="Times New Roman" w:eastAsia="Times New Roman" w:hAnsi="Times New Roman"/>
                <w:b/>
                <w:bCs/>
                <w:szCs w:val="20"/>
              </w:rPr>
              <w:t>Název projektu</w:t>
            </w:r>
          </w:p>
        </w:tc>
        <w:tc>
          <w:tcPr>
            <w:tcW w:w="1257" w:type="dxa"/>
            <w:gridSpan w:val="2"/>
            <w:tcBorders>
              <w:top w:val="single" w:sz="6" w:space="0" w:color="000000"/>
              <w:left w:val="single" w:sz="6" w:space="0" w:color="000000"/>
              <w:bottom w:val="single" w:sz="6" w:space="0" w:color="000000"/>
              <w:right w:val="single" w:sz="6" w:space="0" w:color="000000"/>
            </w:tcBorders>
            <w:vAlign w:val="center"/>
            <w:hideMark/>
          </w:tcPr>
          <w:p w:rsidR="00487DAF" w:rsidRDefault="00487DAF" w:rsidP="00487DAF">
            <w:pPr>
              <w:jc w:val="center"/>
              <w:rPr>
                <w:rFonts w:ascii="Times New Roman" w:eastAsia="Times New Roman" w:hAnsi="Times New Roman"/>
                <w:b/>
                <w:bCs/>
                <w:szCs w:val="20"/>
              </w:rPr>
            </w:pPr>
            <w:r w:rsidRPr="00B83267">
              <w:rPr>
                <w:rFonts w:ascii="Times New Roman" w:eastAsia="Times New Roman" w:hAnsi="Times New Roman"/>
                <w:b/>
                <w:bCs/>
                <w:szCs w:val="20"/>
              </w:rPr>
              <w:t>Celkové náklady</w:t>
            </w:r>
          </w:p>
          <w:p w:rsidR="00487DAF" w:rsidRPr="00B83267" w:rsidRDefault="00487DAF" w:rsidP="00487DAF">
            <w:pPr>
              <w:jc w:val="center"/>
              <w:rPr>
                <w:rFonts w:ascii="Times New Roman" w:eastAsia="Times New Roman" w:hAnsi="Times New Roman"/>
                <w:b/>
                <w:bCs/>
                <w:szCs w:val="20"/>
              </w:rPr>
            </w:pPr>
            <w:r>
              <w:rPr>
                <w:rFonts w:ascii="Times New Roman" w:eastAsia="Times New Roman" w:hAnsi="Times New Roman"/>
                <w:b/>
                <w:bCs/>
                <w:szCs w:val="20"/>
              </w:rPr>
              <w:t>v Kč</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487DAF" w:rsidRDefault="00487DAF" w:rsidP="00487DAF">
            <w:pPr>
              <w:jc w:val="center"/>
              <w:rPr>
                <w:rFonts w:ascii="Times New Roman" w:eastAsia="Times New Roman" w:hAnsi="Times New Roman"/>
                <w:b/>
                <w:bCs/>
                <w:szCs w:val="20"/>
              </w:rPr>
            </w:pPr>
            <w:r w:rsidRPr="00B83267">
              <w:rPr>
                <w:rFonts w:ascii="Times New Roman" w:eastAsia="Times New Roman" w:hAnsi="Times New Roman"/>
                <w:b/>
                <w:bCs/>
                <w:szCs w:val="20"/>
              </w:rPr>
              <w:t>Požadovaná částka</w:t>
            </w:r>
          </w:p>
          <w:p w:rsidR="00487DAF" w:rsidRPr="00B83267" w:rsidRDefault="00487DAF" w:rsidP="00487DAF">
            <w:pPr>
              <w:jc w:val="center"/>
              <w:rPr>
                <w:rFonts w:ascii="Times New Roman" w:eastAsia="Times New Roman" w:hAnsi="Times New Roman"/>
                <w:b/>
                <w:bCs/>
                <w:szCs w:val="20"/>
              </w:rPr>
            </w:pPr>
            <w:r>
              <w:rPr>
                <w:rFonts w:ascii="Times New Roman" w:eastAsia="Times New Roman" w:hAnsi="Times New Roman"/>
                <w:b/>
                <w:bCs/>
                <w:szCs w:val="20"/>
              </w:rPr>
              <w:t>v Kč</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487DAF" w:rsidRPr="00B83267" w:rsidRDefault="00487DAF" w:rsidP="00487DAF">
            <w:pPr>
              <w:jc w:val="center"/>
              <w:rPr>
                <w:rFonts w:ascii="Times New Roman" w:eastAsia="Times New Roman" w:hAnsi="Times New Roman"/>
                <w:b/>
                <w:bCs/>
                <w:szCs w:val="20"/>
              </w:rPr>
            </w:pPr>
            <w:r w:rsidRPr="00B83267">
              <w:rPr>
                <w:rFonts w:ascii="Times New Roman" w:eastAsia="Times New Roman" w:hAnsi="Times New Roman"/>
                <w:b/>
                <w:bCs/>
                <w:szCs w:val="20"/>
              </w:rPr>
              <w:t>Položka</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487DAF" w:rsidRPr="00B83267" w:rsidRDefault="00487DAF" w:rsidP="00487DAF">
            <w:pPr>
              <w:jc w:val="center"/>
              <w:rPr>
                <w:rFonts w:ascii="Times New Roman" w:eastAsia="Times New Roman" w:hAnsi="Times New Roman"/>
                <w:b/>
                <w:bCs/>
                <w:szCs w:val="20"/>
              </w:rPr>
            </w:pPr>
            <w:r w:rsidRPr="00B83267">
              <w:rPr>
                <w:rFonts w:ascii="Times New Roman" w:eastAsia="Times New Roman" w:hAnsi="Times New Roman"/>
                <w:b/>
                <w:bCs/>
                <w:szCs w:val="20"/>
              </w:rPr>
              <w:t>Výsledek bodování</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487DAF" w:rsidRDefault="00487DAF" w:rsidP="00487DAF">
            <w:pPr>
              <w:jc w:val="center"/>
              <w:rPr>
                <w:rFonts w:ascii="Times New Roman" w:eastAsia="Times New Roman" w:hAnsi="Times New Roman"/>
                <w:b/>
                <w:bCs/>
                <w:szCs w:val="20"/>
              </w:rPr>
            </w:pPr>
            <w:r w:rsidRPr="00B83267">
              <w:rPr>
                <w:rFonts w:ascii="Times New Roman" w:eastAsia="Times New Roman" w:hAnsi="Times New Roman"/>
                <w:b/>
                <w:bCs/>
                <w:szCs w:val="20"/>
              </w:rPr>
              <w:t>Návrh komise</w:t>
            </w:r>
          </w:p>
          <w:p w:rsidR="00487DAF" w:rsidRPr="00B83267" w:rsidRDefault="00487DAF" w:rsidP="00487DAF">
            <w:pPr>
              <w:jc w:val="center"/>
              <w:rPr>
                <w:rFonts w:ascii="Times New Roman" w:eastAsia="Times New Roman" w:hAnsi="Times New Roman"/>
                <w:b/>
                <w:bCs/>
                <w:szCs w:val="20"/>
              </w:rPr>
            </w:pPr>
            <w:r>
              <w:rPr>
                <w:rFonts w:ascii="Times New Roman" w:eastAsia="Times New Roman" w:hAnsi="Times New Roman"/>
                <w:b/>
                <w:bCs/>
                <w:szCs w:val="20"/>
              </w:rPr>
              <w:t>v Kč</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564D75" w:rsidRDefault="00487DAF" w:rsidP="00487DAF">
            <w:pPr>
              <w:jc w:val="center"/>
              <w:rPr>
                <w:rFonts w:ascii="Times New Roman" w:eastAsia="Times New Roman" w:hAnsi="Times New Roman"/>
                <w:b/>
                <w:bCs/>
                <w:szCs w:val="20"/>
              </w:rPr>
            </w:pPr>
            <w:r w:rsidRPr="00B83267">
              <w:rPr>
                <w:rFonts w:ascii="Times New Roman" w:eastAsia="Times New Roman" w:hAnsi="Times New Roman"/>
                <w:b/>
                <w:bCs/>
                <w:szCs w:val="20"/>
              </w:rPr>
              <w:t>RHMP</w:t>
            </w:r>
            <w:r w:rsidR="00564D75">
              <w:rPr>
                <w:rFonts w:ascii="Times New Roman" w:eastAsia="Times New Roman" w:hAnsi="Times New Roman"/>
                <w:b/>
                <w:bCs/>
                <w:szCs w:val="20"/>
              </w:rPr>
              <w:t>/</w:t>
            </w:r>
          </w:p>
          <w:p w:rsidR="00487DAF" w:rsidRDefault="00564D75" w:rsidP="00487DAF">
            <w:pPr>
              <w:jc w:val="center"/>
              <w:rPr>
                <w:rFonts w:ascii="Times New Roman" w:eastAsia="Times New Roman" w:hAnsi="Times New Roman"/>
                <w:b/>
                <w:bCs/>
                <w:szCs w:val="20"/>
              </w:rPr>
            </w:pPr>
            <w:r>
              <w:rPr>
                <w:rFonts w:ascii="Times New Roman" w:eastAsia="Times New Roman" w:hAnsi="Times New Roman"/>
                <w:b/>
                <w:bCs/>
                <w:szCs w:val="20"/>
              </w:rPr>
              <w:t>ZHMP</w:t>
            </w:r>
          </w:p>
          <w:p w:rsidR="00487DAF" w:rsidRPr="00B83267" w:rsidRDefault="00487DAF" w:rsidP="00487DAF">
            <w:pPr>
              <w:jc w:val="center"/>
              <w:rPr>
                <w:rFonts w:ascii="Times New Roman" w:eastAsia="Times New Roman" w:hAnsi="Times New Roman"/>
                <w:b/>
                <w:bCs/>
                <w:szCs w:val="20"/>
              </w:rPr>
            </w:pPr>
            <w:r>
              <w:rPr>
                <w:rFonts w:ascii="Times New Roman" w:eastAsia="Times New Roman" w:hAnsi="Times New Roman"/>
                <w:b/>
                <w:bCs/>
                <w:szCs w:val="20"/>
              </w:rPr>
              <w:t>v Kč</w:t>
            </w:r>
          </w:p>
        </w:tc>
      </w:tr>
      <w:tr w:rsidR="00564D75" w:rsidTr="0018072A">
        <w:tblPrEx>
          <w:tblBorders>
            <w:top w:val="nil"/>
            <w:left w:val="nil"/>
            <w:bottom w:val="nil"/>
            <w:right w:val="nil"/>
          </w:tblBorders>
          <w:tblCellMar>
            <w:top w:w="0" w:type="dxa"/>
            <w:left w:w="108" w:type="dxa"/>
            <w:bottom w:w="0" w:type="dxa"/>
            <w:right w:w="108" w:type="dxa"/>
          </w:tblCellMar>
          <w:tblLook w:val="0000" w:firstRow="0" w:lastRow="0" w:firstColumn="0" w:lastColumn="0" w:noHBand="0" w:noVBand="0"/>
        </w:tblPrEx>
        <w:trPr>
          <w:trHeight w:val="205"/>
        </w:trPr>
        <w:tc>
          <w:tcPr>
            <w:tcW w:w="851" w:type="dxa"/>
            <w:tcBorders>
              <w:top w:val="single" w:sz="4" w:space="0" w:color="auto"/>
              <w:left w:val="single" w:sz="4" w:space="0" w:color="auto"/>
              <w:bottom w:val="single" w:sz="4" w:space="0" w:color="auto"/>
              <w:right w:val="single" w:sz="4" w:space="0" w:color="auto"/>
            </w:tcBorders>
            <w:vAlign w:val="center"/>
          </w:tcPr>
          <w:p w:rsidR="00564D75" w:rsidRDefault="0018072A" w:rsidP="00401722">
            <w:pPr>
              <w:pStyle w:val="Default"/>
              <w:rPr>
                <w:sz w:val="20"/>
                <w:szCs w:val="20"/>
              </w:rPr>
            </w:pPr>
            <w:r>
              <w:rPr>
                <w:sz w:val="20"/>
                <w:szCs w:val="20"/>
              </w:rPr>
              <w:t>BA/01</w:t>
            </w:r>
            <w:r w:rsidR="00564D75">
              <w:rPr>
                <w:sz w:val="20"/>
                <w:szCs w:val="20"/>
              </w:rPr>
              <w:t>1</w:t>
            </w:r>
          </w:p>
        </w:tc>
        <w:tc>
          <w:tcPr>
            <w:tcW w:w="2266" w:type="dxa"/>
            <w:tcBorders>
              <w:top w:val="single" w:sz="4" w:space="0" w:color="auto"/>
              <w:left w:val="single" w:sz="4" w:space="0" w:color="auto"/>
              <w:bottom w:val="single" w:sz="4" w:space="0" w:color="auto"/>
              <w:right w:val="single" w:sz="4" w:space="0" w:color="auto"/>
            </w:tcBorders>
            <w:vAlign w:val="center"/>
          </w:tcPr>
          <w:p w:rsidR="00564D75" w:rsidRDefault="00564D75" w:rsidP="0018072A">
            <w:pPr>
              <w:pStyle w:val="Default"/>
              <w:rPr>
                <w:sz w:val="20"/>
                <w:szCs w:val="20"/>
              </w:rPr>
            </w:pPr>
            <w:r>
              <w:rPr>
                <w:sz w:val="20"/>
                <w:szCs w:val="20"/>
              </w:rPr>
              <w:t>S-MHMP 1360986/2020</w:t>
            </w:r>
          </w:p>
        </w:tc>
        <w:tc>
          <w:tcPr>
            <w:tcW w:w="2694" w:type="dxa"/>
            <w:tcBorders>
              <w:top w:val="single" w:sz="4" w:space="0" w:color="auto"/>
              <w:left w:val="single" w:sz="4" w:space="0" w:color="auto"/>
              <w:bottom w:val="single" w:sz="4" w:space="0" w:color="auto"/>
              <w:right w:val="single" w:sz="4" w:space="0" w:color="auto"/>
            </w:tcBorders>
            <w:vAlign w:val="center"/>
          </w:tcPr>
          <w:p w:rsidR="00564D75" w:rsidRDefault="00564D75" w:rsidP="0018072A">
            <w:pPr>
              <w:pStyle w:val="Default"/>
              <w:rPr>
                <w:sz w:val="20"/>
                <w:szCs w:val="20"/>
              </w:rPr>
            </w:pPr>
            <w:r>
              <w:rPr>
                <w:sz w:val="20"/>
                <w:szCs w:val="20"/>
              </w:rPr>
              <w:t>25102699 - Divadlo Bez zábradlí s.r.o.</w:t>
            </w:r>
          </w:p>
        </w:tc>
        <w:tc>
          <w:tcPr>
            <w:tcW w:w="2268" w:type="dxa"/>
            <w:tcBorders>
              <w:top w:val="single" w:sz="4" w:space="0" w:color="auto"/>
              <w:left w:val="single" w:sz="4" w:space="0" w:color="auto"/>
              <w:bottom w:val="single" w:sz="4" w:space="0" w:color="auto"/>
              <w:right w:val="single" w:sz="4" w:space="0" w:color="auto"/>
            </w:tcBorders>
            <w:vAlign w:val="center"/>
          </w:tcPr>
          <w:p w:rsidR="00564D75" w:rsidRDefault="00564D75" w:rsidP="0018072A">
            <w:pPr>
              <w:pStyle w:val="Default"/>
              <w:rPr>
                <w:sz w:val="20"/>
                <w:szCs w:val="20"/>
              </w:rPr>
            </w:pPr>
            <w:r>
              <w:rPr>
                <w:sz w:val="20"/>
                <w:szCs w:val="20"/>
              </w:rPr>
              <w:t>Celoroční činnost DBZ 2021</w:t>
            </w:r>
          </w:p>
        </w:tc>
        <w:tc>
          <w:tcPr>
            <w:tcW w:w="1277" w:type="dxa"/>
            <w:gridSpan w:val="3"/>
            <w:tcBorders>
              <w:top w:val="single" w:sz="4" w:space="0" w:color="auto"/>
              <w:left w:val="single" w:sz="4" w:space="0" w:color="auto"/>
              <w:bottom w:val="single" w:sz="4" w:space="0" w:color="auto"/>
              <w:right w:val="single" w:sz="4" w:space="0" w:color="auto"/>
            </w:tcBorders>
            <w:vAlign w:val="center"/>
          </w:tcPr>
          <w:p w:rsidR="00564D75" w:rsidRDefault="00564D75" w:rsidP="00564D75">
            <w:pPr>
              <w:pStyle w:val="Default"/>
              <w:jc w:val="center"/>
              <w:rPr>
                <w:sz w:val="20"/>
                <w:szCs w:val="20"/>
              </w:rPr>
            </w:pPr>
            <w:r>
              <w:rPr>
                <w:sz w:val="20"/>
                <w:szCs w:val="20"/>
              </w:rPr>
              <w:t>35 227 940</w:t>
            </w:r>
          </w:p>
        </w:tc>
        <w:tc>
          <w:tcPr>
            <w:tcW w:w="1276" w:type="dxa"/>
            <w:tcBorders>
              <w:top w:val="single" w:sz="4" w:space="0" w:color="auto"/>
              <w:left w:val="single" w:sz="4" w:space="0" w:color="auto"/>
              <w:bottom w:val="single" w:sz="4" w:space="0" w:color="auto"/>
              <w:right w:val="single" w:sz="4" w:space="0" w:color="auto"/>
            </w:tcBorders>
            <w:vAlign w:val="center"/>
          </w:tcPr>
          <w:p w:rsidR="00564D75" w:rsidRDefault="00564D75" w:rsidP="00564D75">
            <w:pPr>
              <w:pStyle w:val="Default"/>
              <w:jc w:val="center"/>
              <w:rPr>
                <w:sz w:val="20"/>
                <w:szCs w:val="20"/>
              </w:rPr>
            </w:pPr>
            <w:r>
              <w:rPr>
                <w:sz w:val="20"/>
                <w:szCs w:val="20"/>
              </w:rPr>
              <w:t>11 298 458</w:t>
            </w:r>
          </w:p>
        </w:tc>
        <w:tc>
          <w:tcPr>
            <w:tcW w:w="992" w:type="dxa"/>
            <w:tcBorders>
              <w:top w:val="single" w:sz="4" w:space="0" w:color="auto"/>
              <w:left w:val="single" w:sz="4" w:space="0" w:color="auto"/>
              <w:bottom w:val="single" w:sz="4" w:space="0" w:color="auto"/>
              <w:right w:val="single" w:sz="4" w:space="0" w:color="auto"/>
            </w:tcBorders>
            <w:vAlign w:val="center"/>
          </w:tcPr>
          <w:p w:rsidR="00564D75" w:rsidRDefault="00564D75" w:rsidP="00564D75">
            <w:pPr>
              <w:pStyle w:val="Default"/>
              <w:jc w:val="center"/>
              <w:rPr>
                <w:sz w:val="20"/>
                <w:szCs w:val="20"/>
              </w:rPr>
            </w:pPr>
            <w:r>
              <w:rPr>
                <w:sz w:val="20"/>
                <w:szCs w:val="20"/>
              </w:rPr>
              <w:t>5213</w:t>
            </w:r>
          </w:p>
        </w:tc>
        <w:tc>
          <w:tcPr>
            <w:tcW w:w="1134" w:type="dxa"/>
            <w:tcBorders>
              <w:top w:val="single" w:sz="4" w:space="0" w:color="auto"/>
              <w:left w:val="single" w:sz="4" w:space="0" w:color="auto"/>
              <w:bottom w:val="single" w:sz="4" w:space="0" w:color="auto"/>
              <w:right w:val="single" w:sz="4" w:space="0" w:color="auto"/>
            </w:tcBorders>
            <w:vAlign w:val="center"/>
          </w:tcPr>
          <w:p w:rsidR="00564D75" w:rsidRDefault="00564D75" w:rsidP="00564D75">
            <w:pPr>
              <w:pStyle w:val="Default"/>
              <w:jc w:val="center"/>
              <w:rPr>
                <w:sz w:val="20"/>
                <w:szCs w:val="20"/>
              </w:rPr>
            </w:pPr>
            <w:r>
              <w:rPr>
                <w:sz w:val="20"/>
                <w:szCs w:val="20"/>
              </w:rPr>
              <w:t>67</w:t>
            </w:r>
          </w:p>
        </w:tc>
        <w:tc>
          <w:tcPr>
            <w:tcW w:w="992" w:type="dxa"/>
            <w:tcBorders>
              <w:top w:val="single" w:sz="4" w:space="0" w:color="auto"/>
              <w:left w:val="single" w:sz="4" w:space="0" w:color="auto"/>
              <w:bottom w:val="single" w:sz="4" w:space="0" w:color="auto"/>
              <w:right w:val="single" w:sz="4" w:space="0" w:color="auto"/>
            </w:tcBorders>
            <w:vAlign w:val="center"/>
          </w:tcPr>
          <w:p w:rsidR="00564D75" w:rsidRDefault="0018072A" w:rsidP="00564D75">
            <w:pPr>
              <w:pStyle w:val="Default"/>
              <w:jc w:val="center"/>
              <w:rPr>
                <w:sz w:val="20"/>
                <w:szCs w:val="20"/>
              </w:rPr>
            </w:pPr>
            <w:r>
              <w:rPr>
                <w:sz w:val="20"/>
                <w:szCs w:val="20"/>
              </w:rPr>
              <w:t>1 300</w:t>
            </w:r>
            <w:r w:rsidR="00564D75">
              <w:rPr>
                <w:sz w:val="20"/>
                <w:szCs w:val="20"/>
              </w:rPr>
              <w:t>000</w:t>
            </w:r>
          </w:p>
        </w:tc>
        <w:tc>
          <w:tcPr>
            <w:tcW w:w="993" w:type="dxa"/>
            <w:tcBorders>
              <w:top w:val="single" w:sz="4" w:space="0" w:color="auto"/>
              <w:left w:val="single" w:sz="4" w:space="0" w:color="auto"/>
              <w:bottom w:val="single" w:sz="4" w:space="0" w:color="auto"/>
              <w:right w:val="single" w:sz="4" w:space="0" w:color="auto"/>
            </w:tcBorders>
            <w:vAlign w:val="center"/>
          </w:tcPr>
          <w:p w:rsidR="00564D75" w:rsidRDefault="0018072A" w:rsidP="00564D75">
            <w:pPr>
              <w:pStyle w:val="Default"/>
              <w:jc w:val="center"/>
              <w:rPr>
                <w:sz w:val="20"/>
                <w:szCs w:val="20"/>
              </w:rPr>
            </w:pPr>
            <w:r>
              <w:rPr>
                <w:sz w:val="20"/>
                <w:szCs w:val="20"/>
              </w:rPr>
              <w:t>1 300</w:t>
            </w:r>
            <w:r w:rsidR="00564D75">
              <w:rPr>
                <w:sz w:val="20"/>
                <w:szCs w:val="20"/>
              </w:rPr>
              <w:t>000</w:t>
            </w:r>
          </w:p>
        </w:tc>
      </w:tr>
      <w:tr w:rsidR="00564D75" w:rsidRPr="00B83267" w:rsidTr="00564D75">
        <w:tc>
          <w:tcPr>
            <w:tcW w:w="14743" w:type="dxa"/>
            <w:gridSpan w:val="12"/>
            <w:tcBorders>
              <w:top w:val="single" w:sz="6" w:space="0" w:color="000000"/>
              <w:left w:val="single" w:sz="6" w:space="0" w:color="000000"/>
              <w:bottom w:val="single" w:sz="6" w:space="0" w:color="000000"/>
              <w:right w:val="single" w:sz="6" w:space="0" w:color="000000"/>
            </w:tcBorders>
            <w:vAlign w:val="center"/>
          </w:tcPr>
          <w:p w:rsidR="00564D75" w:rsidRPr="00B83267" w:rsidRDefault="00564D75" w:rsidP="00564D75">
            <w:pPr>
              <w:jc w:val="both"/>
              <w:rPr>
                <w:rFonts w:ascii="Times New Roman" w:eastAsia="Times New Roman" w:hAnsi="Times New Roman"/>
                <w:b/>
                <w:bCs/>
                <w:szCs w:val="20"/>
              </w:rPr>
            </w:pPr>
            <w:r w:rsidRPr="00564D75">
              <w:rPr>
                <w:rFonts w:ascii="Times New Roman" w:eastAsia="Times New Roman" w:hAnsi="Times New Roman"/>
                <w:bCs/>
                <w:szCs w:val="20"/>
              </w:rPr>
              <w:t xml:space="preserve">Divadlo Bez zábradlí je jedno z prvních českých soukromých divadel (založeno 1992) - na základě výběrového řízení získalo prostory v Paláci Adria, kde zahájilo svoji činnost v únoru 1998. Projekt na celoroční provoz DBZ v Paláci Adria v roce 2021 předpokládá rozšíření dramaturgického plánu o nové inovativní kulturní a vzdělávací prvky, které obsahově korespondují s Koncepcí kulturní politiky hl. m. Prahy. Zahrnuje uvedení tří her dle dramaturgického záměru, jenž přináší diverzifikaci publika, a rozvinutí strukturovaného </w:t>
            </w:r>
            <w:proofErr w:type="gramStart"/>
            <w:r w:rsidRPr="00564D75">
              <w:rPr>
                <w:rFonts w:ascii="Times New Roman" w:eastAsia="Times New Roman" w:hAnsi="Times New Roman"/>
                <w:bCs/>
                <w:szCs w:val="20"/>
              </w:rPr>
              <w:t>kulturně</w:t>
            </w:r>
            <w:proofErr w:type="gramEnd"/>
            <w:r w:rsidRPr="00564D75">
              <w:rPr>
                <w:rFonts w:ascii="Times New Roman" w:eastAsia="Times New Roman" w:hAnsi="Times New Roman"/>
                <w:bCs/>
                <w:szCs w:val="20"/>
              </w:rPr>
              <w:t>–</w:t>
            </w:r>
            <w:proofErr w:type="gramStart"/>
            <w:r w:rsidRPr="00564D75">
              <w:rPr>
                <w:rFonts w:ascii="Times New Roman" w:eastAsia="Times New Roman" w:hAnsi="Times New Roman"/>
                <w:bCs/>
                <w:szCs w:val="20"/>
              </w:rPr>
              <w:t>edukativního</w:t>
            </w:r>
            <w:proofErr w:type="gramEnd"/>
            <w:r w:rsidRPr="00564D75">
              <w:rPr>
                <w:rFonts w:ascii="Times New Roman" w:eastAsia="Times New Roman" w:hAnsi="Times New Roman"/>
                <w:bCs/>
                <w:szCs w:val="20"/>
              </w:rPr>
              <w:t xml:space="preserve"> </w:t>
            </w:r>
            <w:proofErr w:type="spellStart"/>
            <w:r w:rsidRPr="00564D75">
              <w:rPr>
                <w:rFonts w:ascii="Times New Roman" w:eastAsia="Times New Roman" w:hAnsi="Times New Roman"/>
                <w:bCs/>
                <w:szCs w:val="20"/>
              </w:rPr>
              <w:t>off</w:t>
            </w:r>
            <w:proofErr w:type="spellEnd"/>
            <w:r w:rsidRPr="00564D75">
              <w:rPr>
                <w:rFonts w:ascii="Times New Roman" w:eastAsia="Times New Roman" w:hAnsi="Times New Roman"/>
                <w:bCs/>
                <w:szCs w:val="20"/>
              </w:rPr>
              <w:t xml:space="preserve">-programu, doplňujícího hlavní uměleckou činnost divadla. Díky navázaní spolupráce s Prague Shakespeare </w:t>
            </w:r>
            <w:proofErr w:type="spellStart"/>
            <w:r w:rsidRPr="00564D75">
              <w:rPr>
                <w:rFonts w:ascii="Times New Roman" w:eastAsia="Times New Roman" w:hAnsi="Times New Roman"/>
                <w:bCs/>
                <w:szCs w:val="20"/>
              </w:rPr>
              <w:t>Company</w:t>
            </w:r>
            <w:proofErr w:type="spellEnd"/>
            <w:r w:rsidRPr="00564D75">
              <w:rPr>
                <w:rFonts w:ascii="Times New Roman" w:eastAsia="Times New Roman" w:hAnsi="Times New Roman"/>
                <w:bCs/>
                <w:szCs w:val="20"/>
              </w:rPr>
              <w:t xml:space="preserve"> bude posílen mezinárodní charakter umělecké tvorby, poskytnuta možnost kreativního růstu stipendistům z řad českých umělců v rámci </w:t>
            </w:r>
            <w:proofErr w:type="spellStart"/>
            <w:r w:rsidRPr="00564D75">
              <w:rPr>
                <w:rFonts w:ascii="Times New Roman" w:eastAsia="Times New Roman" w:hAnsi="Times New Roman"/>
                <w:bCs/>
                <w:szCs w:val="20"/>
              </w:rPr>
              <w:t>Summer</w:t>
            </w:r>
            <w:proofErr w:type="spellEnd"/>
            <w:r w:rsidRPr="00564D75">
              <w:rPr>
                <w:rFonts w:ascii="Times New Roman" w:eastAsia="Times New Roman" w:hAnsi="Times New Roman"/>
                <w:bCs/>
                <w:szCs w:val="20"/>
              </w:rPr>
              <w:t xml:space="preserve"> Shakespeare </w:t>
            </w:r>
            <w:proofErr w:type="spellStart"/>
            <w:r w:rsidRPr="00564D75">
              <w:rPr>
                <w:rFonts w:ascii="Times New Roman" w:eastAsia="Times New Roman" w:hAnsi="Times New Roman"/>
                <w:bCs/>
                <w:szCs w:val="20"/>
              </w:rPr>
              <w:t>Intensives</w:t>
            </w:r>
            <w:proofErr w:type="spellEnd"/>
            <w:r w:rsidRPr="00564D75">
              <w:rPr>
                <w:rFonts w:ascii="Times New Roman" w:eastAsia="Times New Roman" w:hAnsi="Times New Roman"/>
                <w:bCs/>
                <w:szCs w:val="20"/>
              </w:rPr>
              <w:t xml:space="preserve"> a zároveň bude osloveno </w:t>
            </w:r>
            <w:proofErr w:type="spellStart"/>
            <w:r w:rsidRPr="00564D75">
              <w:rPr>
                <w:rFonts w:ascii="Times New Roman" w:eastAsia="Times New Roman" w:hAnsi="Times New Roman"/>
                <w:bCs/>
                <w:szCs w:val="20"/>
              </w:rPr>
              <w:t>anglickojazyčné</w:t>
            </w:r>
            <w:proofErr w:type="spellEnd"/>
            <w:r w:rsidRPr="00564D75">
              <w:rPr>
                <w:rFonts w:ascii="Times New Roman" w:eastAsia="Times New Roman" w:hAnsi="Times New Roman"/>
                <w:bCs/>
                <w:szCs w:val="20"/>
              </w:rPr>
              <w:t xml:space="preserve"> obecenstvo, jež v stále více kosmopolitní metropoli tvoří nezanedbatelnou část populace. Celkem má být odehráno 330 představení, z toho 60 je určeno dětem. Výše požadované dotace činí 32,07 % způsobilých nákladů. DBZ je pravidelným příjemcem dotací HMP v oblasti KUL v posledních 3 letech: 2018 - 1.500.000 Kč, 2019 - 4.000.000 Kč – IUD, 2020 -1.500.000 Kč + IUD </w:t>
            </w:r>
            <w:proofErr w:type="spellStart"/>
            <w:r w:rsidRPr="00564D75">
              <w:rPr>
                <w:rFonts w:ascii="Times New Roman" w:eastAsia="Times New Roman" w:hAnsi="Times New Roman"/>
                <w:bCs/>
                <w:szCs w:val="20"/>
              </w:rPr>
              <w:t>Covid</w:t>
            </w:r>
            <w:proofErr w:type="spellEnd"/>
            <w:r w:rsidRPr="00564D75">
              <w:rPr>
                <w:rFonts w:ascii="Times New Roman" w:eastAsia="Times New Roman" w:hAnsi="Times New Roman"/>
                <w:bCs/>
                <w:szCs w:val="20"/>
              </w:rPr>
              <w:t xml:space="preserve"> 19-300.000 Kč.</w:t>
            </w:r>
            <w:r w:rsidRPr="00564D75">
              <w:rPr>
                <w:rFonts w:ascii="Times New Roman" w:eastAsia="Times New Roman" w:hAnsi="Times New Roman"/>
                <w:b/>
                <w:bCs/>
                <w:szCs w:val="20"/>
              </w:rPr>
              <w:t xml:space="preserve"> GK: Divadlo Bez zábradlí si vybudovalo pověst scény, od které diváci očekávají kultivovanou zábavu spojenou s kvalitními výkony hereckých osobností v převážně komediálním repertoáru. Po delším období, kdy těžilo převážně ze starších titulů, obohatily jeho repertoár postupně tři typově různorodé inscenace – komedie Hra, která se zvrtla, obnovená premiéra muzikálu Cikáni jdou do nebe a modelové komorní drama Po konci světa. Poslední jmenovaná hra již naznačila širší možnosti zdejší dramaturgie, které ostatně potvrdil i aktuálně předložený projekt. Ten je mj. spojený se zásadní změnou ve vedení divadla, kde by se klíčových postů měli od ledna 2021 ujmout Karel Heřmánek ml. a Josef Heřmánek. Vedle zamýšlených organizačních a repertoárových změn, jež by Divadla Bez zábradlí mohly výrazně odlišit od pražských scén zaměřených primárně na divácky atraktivní komediální tvorbu, se zde objevuje i kontinuální spolupráce s </w:t>
            </w:r>
            <w:proofErr w:type="spellStart"/>
            <w:r w:rsidRPr="00564D75">
              <w:rPr>
                <w:rFonts w:ascii="Times New Roman" w:eastAsia="Times New Roman" w:hAnsi="Times New Roman"/>
                <w:b/>
                <w:bCs/>
                <w:szCs w:val="20"/>
              </w:rPr>
              <w:t>anglickojazyčnou</w:t>
            </w:r>
            <w:proofErr w:type="spellEnd"/>
            <w:r w:rsidRPr="00564D75">
              <w:rPr>
                <w:rFonts w:ascii="Times New Roman" w:eastAsia="Times New Roman" w:hAnsi="Times New Roman"/>
                <w:b/>
                <w:bCs/>
                <w:szCs w:val="20"/>
              </w:rPr>
              <w:t xml:space="preserve"> Prague Shakespeare </w:t>
            </w:r>
            <w:proofErr w:type="spellStart"/>
            <w:r w:rsidRPr="00564D75">
              <w:rPr>
                <w:rFonts w:ascii="Times New Roman" w:eastAsia="Times New Roman" w:hAnsi="Times New Roman"/>
                <w:b/>
                <w:bCs/>
                <w:szCs w:val="20"/>
              </w:rPr>
              <w:t>Company</w:t>
            </w:r>
            <w:proofErr w:type="spellEnd"/>
            <w:r w:rsidRPr="00564D75">
              <w:rPr>
                <w:rFonts w:ascii="Times New Roman" w:eastAsia="Times New Roman" w:hAnsi="Times New Roman"/>
                <w:b/>
                <w:bCs/>
                <w:szCs w:val="20"/>
              </w:rPr>
              <w:t xml:space="preserve"> včetně pořádání letních workshopů. Připravované změny počítají s důrazem na větší interakci s mladou generací včetně spolupráce se středními a vysokými školami i zásadním posílením propagace divadla prostřednictvím sociálních sítí a využitím videa. Divadlo Bez zábradlí dlouhodobě tvoří kvalitní, divácky vstřícné inscenace, které z podstaty provozování divadla jako podnikatelského subjektu nemohou podstupovat ekonomická rizika spojená s experimentováním a vysokými investicemi do postradatelných součástí divadelních projektů jako jsou vysoké počty účinkujících, výpravné výtvarné řešení, moderní technologie atd.), které jsou jinak jedním z důvodů veřejné podpory veřejnoprávních nebo některých neziskových divadel. Významnou měrou ale přispívá ke kulturní nabídce Prahy a na místě je jeho podpora, ne ale zdaleka v rozsahu, který divadlo požaduje. Z ekonomických ukazatelů vzbuzuje rozpaky zejména nepoměr reality minulých let plánovanými příjmy, ve kterých se počítá s poklesem o 25</w:t>
            </w:r>
            <w:r>
              <w:rPr>
                <w:rFonts w:ascii="Times New Roman" w:eastAsia="Times New Roman" w:hAnsi="Times New Roman"/>
                <w:b/>
                <w:bCs/>
                <w:szCs w:val="20"/>
              </w:rPr>
              <w:t xml:space="preserve"> </w:t>
            </w:r>
            <w:r w:rsidRPr="00564D75">
              <w:rPr>
                <w:rFonts w:ascii="Times New Roman" w:eastAsia="Times New Roman" w:hAnsi="Times New Roman"/>
                <w:b/>
                <w:bCs/>
                <w:szCs w:val="20"/>
              </w:rPr>
              <w:t>% (přes 20</w:t>
            </w:r>
            <w:r>
              <w:rPr>
                <w:rFonts w:ascii="Times New Roman" w:eastAsia="Times New Roman" w:hAnsi="Times New Roman"/>
                <w:b/>
                <w:bCs/>
                <w:szCs w:val="20"/>
              </w:rPr>
              <w:t xml:space="preserve"> </w:t>
            </w:r>
            <w:r w:rsidRPr="00564D75">
              <w:rPr>
                <w:rFonts w:ascii="Times New Roman" w:eastAsia="Times New Roman" w:hAnsi="Times New Roman"/>
                <w:b/>
                <w:bCs/>
                <w:szCs w:val="20"/>
              </w:rPr>
              <w:t xml:space="preserve">% u tržeb z prodeje vstupenek a cca </w:t>
            </w:r>
            <w:proofErr w:type="gramStart"/>
            <w:r w:rsidRPr="00564D75">
              <w:rPr>
                <w:rFonts w:ascii="Times New Roman" w:eastAsia="Times New Roman" w:hAnsi="Times New Roman"/>
                <w:b/>
                <w:bCs/>
                <w:szCs w:val="20"/>
              </w:rPr>
              <w:t>80</w:t>
            </w:r>
            <w:r>
              <w:rPr>
                <w:rFonts w:ascii="Times New Roman" w:eastAsia="Times New Roman" w:hAnsi="Times New Roman"/>
                <w:b/>
                <w:bCs/>
                <w:szCs w:val="20"/>
              </w:rPr>
              <w:t xml:space="preserve"> </w:t>
            </w:r>
            <w:r w:rsidRPr="00564D75">
              <w:rPr>
                <w:rFonts w:ascii="Times New Roman" w:eastAsia="Times New Roman" w:hAnsi="Times New Roman"/>
                <w:b/>
                <w:bCs/>
                <w:szCs w:val="20"/>
              </w:rPr>
              <w:t>%! u</w:t>
            </w:r>
            <w:proofErr w:type="gramEnd"/>
            <w:r w:rsidRPr="00564D75">
              <w:rPr>
                <w:rFonts w:ascii="Times New Roman" w:eastAsia="Times New Roman" w:hAnsi="Times New Roman"/>
                <w:b/>
                <w:bCs/>
                <w:szCs w:val="20"/>
              </w:rPr>
              <w:t xml:space="preserve"> ostatních služeb). Naopak na straně nákladů se s žádnou úsporou nepočítá. Rozpočet proto GK považuje za nehospodárný a doporučuje požadovanou částku krátit směrem k částce, kterou bylo divadlo podporováno v minulých letech (s výjimkou nesystémové podpory v roce 2019).</w:t>
            </w:r>
          </w:p>
        </w:tc>
      </w:tr>
      <w:tr w:rsidR="00487DAF" w:rsidRPr="00B83267" w:rsidTr="0018072A">
        <w:tc>
          <w:tcPr>
            <w:tcW w:w="851" w:type="dxa"/>
            <w:tcBorders>
              <w:top w:val="single" w:sz="4" w:space="0" w:color="000000"/>
              <w:left w:val="single" w:sz="4" w:space="0" w:color="000000"/>
              <w:bottom w:val="single" w:sz="4" w:space="0" w:color="000000"/>
              <w:right w:val="single" w:sz="4" w:space="0" w:color="000000"/>
            </w:tcBorders>
            <w:vAlign w:val="center"/>
            <w:hideMark/>
          </w:tcPr>
          <w:p w:rsidR="00487DAF" w:rsidRPr="00B83267" w:rsidRDefault="00564D75" w:rsidP="000B5A47">
            <w:pPr>
              <w:rPr>
                <w:rFonts w:ascii="Times New Roman" w:eastAsia="Times New Roman" w:hAnsi="Times New Roman"/>
                <w:szCs w:val="20"/>
              </w:rPr>
            </w:pPr>
            <w:r>
              <w:rPr>
                <w:rFonts w:ascii="Times New Roman" w:eastAsia="Times New Roman" w:hAnsi="Times New Roman"/>
                <w:szCs w:val="20"/>
              </w:rPr>
              <w:t>B</w:t>
            </w:r>
            <w:r w:rsidR="00487DAF" w:rsidRPr="00B83267">
              <w:rPr>
                <w:rFonts w:ascii="Times New Roman" w:eastAsia="Times New Roman" w:hAnsi="Times New Roman"/>
                <w:szCs w:val="20"/>
              </w:rPr>
              <w:t>A/036</w:t>
            </w:r>
          </w:p>
        </w:tc>
        <w:tc>
          <w:tcPr>
            <w:tcW w:w="2266" w:type="dxa"/>
            <w:tcBorders>
              <w:top w:val="single" w:sz="4" w:space="0" w:color="000000"/>
              <w:left w:val="single" w:sz="4" w:space="0" w:color="000000"/>
              <w:bottom w:val="single" w:sz="4" w:space="0" w:color="000000"/>
              <w:right w:val="single" w:sz="4" w:space="0" w:color="000000"/>
            </w:tcBorders>
            <w:vAlign w:val="center"/>
            <w:hideMark/>
          </w:tcPr>
          <w:p w:rsidR="00487DAF" w:rsidRPr="00B83267" w:rsidRDefault="00487DAF" w:rsidP="000B5A47">
            <w:pPr>
              <w:rPr>
                <w:rFonts w:ascii="Times New Roman" w:eastAsia="Times New Roman" w:hAnsi="Times New Roman"/>
                <w:szCs w:val="20"/>
              </w:rPr>
            </w:pPr>
            <w:r w:rsidRPr="00B83267">
              <w:rPr>
                <w:rFonts w:ascii="Times New Roman" w:eastAsia="Times New Roman" w:hAnsi="Times New Roman"/>
                <w:szCs w:val="20"/>
              </w:rPr>
              <w:t>S-MHMP 1369889/2020</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87DAF" w:rsidRPr="00B83267" w:rsidRDefault="00487DAF" w:rsidP="000B5A47">
            <w:pPr>
              <w:rPr>
                <w:rFonts w:ascii="Times New Roman" w:eastAsia="Times New Roman" w:hAnsi="Times New Roman"/>
                <w:szCs w:val="20"/>
              </w:rPr>
            </w:pPr>
            <w:r w:rsidRPr="00B83267">
              <w:rPr>
                <w:rFonts w:ascii="Times New Roman" w:eastAsia="Times New Roman" w:hAnsi="Times New Roman"/>
                <w:szCs w:val="20"/>
              </w:rPr>
              <w:t xml:space="preserve">07858744 - TABULA </w:t>
            </w:r>
            <w:proofErr w:type="gramStart"/>
            <w:r w:rsidRPr="00B83267">
              <w:rPr>
                <w:rFonts w:ascii="Times New Roman" w:eastAsia="Times New Roman" w:hAnsi="Times New Roman"/>
                <w:szCs w:val="20"/>
              </w:rPr>
              <w:t>RASA, z. s.</w:t>
            </w:r>
            <w:proofErr w:type="gramEnd"/>
          </w:p>
        </w:tc>
        <w:tc>
          <w:tcPr>
            <w:tcW w:w="2288" w:type="dxa"/>
            <w:gridSpan w:val="2"/>
            <w:tcBorders>
              <w:top w:val="single" w:sz="4" w:space="0" w:color="000000"/>
              <w:left w:val="single" w:sz="4" w:space="0" w:color="000000"/>
              <w:bottom w:val="single" w:sz="4" w:space="0" w:color="000000"/>
              <w:right w:val="single" w:sz="4" w:space="0" w:color="000000"/>
            </w:tcBorders>
            <w:vAlign w:val="center"/>
            <w:hideMark/>
          </w:tcPr>
          <w:p w:rsidR="00487DAF" w:rsidRPr="00B83267" w:rsidRDefault="00EA3747" w:rsidP="000B5A47">
            <w:pPr>
              <w:rPr>
                <w:rFonts w:ascii="Times New Roman" w:eastAsia="Times New Roman" w:hAnsi="Times New Roman"/>
                <w:szCs w:val="20"/>
              </w:rPr>
            </w:pPr>
            <w:r>
              <w:rPr>
                <w:rFonts w:ascii="Times New Roman" w:eastAsia="Times New Roman" w:hAnsi="Times New Roman"/>
                <w:szCs w:val="20"/>
              </w:rPr>
              <w:t>C</w:t>
            </w:r>
            <w:r w:rsidR="00487DAF" w:rsidRPr="00B83267">
              <w:rPr>
                <w:rFonts w:ascii="Times New Roman" w:eastAsia="Times New Roman" w:hAnsi="Times New Roman"/>
                <w:szCs w:val="20"/>
              </w:rPr>
              <w:t>eloroční činnost spolku</w:t>
            </w:r>
          </w:p>
        </w:tc>
        <w:tc>
          <w:tcPr>
            <w:tcW w:w="1257" w:type="dxa"/>
            <w:gridSpan w:val="2"/>
            <w:tcBorders>
              <w:top w:val="single" w:sz="4" w:space="0" w:color="000000"/>
              <w:left w:val="single" w:sz="4" w:space="0" w:color="000000"/>
              <w:bottom w:val="single" w:sz="4" w:space="0" w:color="000000"/>
              <w:right w:val="single" w:sz="4" w:space="0" w:color="000000"/>
            </w:tcBorders>
            <w:vAlign w:val="center"/>
            <w:hideMark/>
          </w:tcPr>
          <w:p w:rsidR="00487DAF" w:rsidRPr="00B83267" w:rsidRDefault="00487DAF" w:rsidP="000B5A47">
            <w:pPr>
              <w:jc w:val="right"/>
              <w:rPr>
                <w:rFonts w:ascii="Times New Roman" w:eastAsia="Times New Roman" w:hAnsi="Times New Roman"/>
                <w:szCs w:val="20"/>
              </w:rPr>
            </w:pPr>
            <w:r w:rsidRPr="00B83267">
              <w:rPr>
                <w:rFonts w:ascii="Times New Roman" w:eastAsia="Times New Roman" w:hAnsi="Times New Roman"/>
                <w:szCs w:val="20"/>
              </w:rPr>
              <w:t>671 569</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87DAF" w:rsidRPr="00B83267" w:rsidRDefault="00487DAF" w:rsidP="000B5A47">
            <w:pPr>
              <w:jc w:val="right"/>
              <w:rPr>
                <w:rFonts w:ascii="Times New Roman" w:eastAsia="Times New Roman" w:hAnsi="Times New Roman"/>
                <w:szCs w:val="20"/>
              </w:rPr>
            </w:pPr>
            <w:r w:rsidRPr="00B83267">
              <w:rPr>
                <w:rFonts w:ascii="Times New Roman" w:eastAsia="Times New Roman" w:hAnsi="Times New Roman"/>
                <w:szCs w:val="20"/>
              </w:rPr>
              <w:t>330 000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487DAF" w:rsidRPr="00B83267" w:rsidRDefault="00487DAF" w:rsidP="000B5A47">
            <w:pPr>
              <w:jc w:val="center"/>
              <w:rPr>
                <w:rFonts w:ascii="Times New Roman" w:eastAsia="Times New Roman" w:hAnsi="Times New Roman"/>
                <w:szCs w:val="20"/>
              </w:rPr>
            </w:pPr>
            <w:r w:rsidRPr="00B83267">
              <w:rPr>
                <w:rFonts w:ascii="Times New Roman" w:eastAsia="Times New Roman" w:hAnsi="Times New Roman"/>
                <w:szCs w:val="20"/>
              </w:rPr>
              <w:t>5222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487DAF" w:rsidRPr="00B83267" w:rsidRDefault="00487DAF" w:rsidP="000B5A47">
            <w:pPr>
              <w:jc w:val="center"/>
              <w:rPr>
                <w:rFonts w:ascii="Times New Roman" w:eastAsia="Times New Roman" w:hAnsi="Times New Roman"/>
                <w:szCs w:val="20"/>
              </w:rPr>
            </w:pPr>
            <w:r w:rsidRPr="00B83267">
              <w:rPr>
                <w:rFonts w:ascii="Times New Roman" w:eastAsia="Times New Roman" w:hAnsi="Times New Roman"/>
                <w:szCs w:val="20"/>
              </w:rPr>
              <w:t>64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487DAF" w:rsidRPr="00B83267" w:rsidRDefault="00487DAF" w:rsidP="000B5A47">
            <w:pPr>
              <w:jc w:val="right"/>
              <w:rPr>
                <w:rFonts w:ascii="Times New Roman" w:eastAsia="Times New Roman" w:hAnsi="Times New Roman"/>
                <w:szCs w:val="20"/>
              </w:rPr>
            </w:pPr>
            <w:r w:rsidRPr="00B83267">
              <w:rPr>
                <w:rFonts w:ascii="Times New Roman" w:eastAsia="Times New Roman" w:hAnsi="Times New Roman"/>
                <w:szCs w:val="20"/>
              </w:rPr>
              <w:t>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487DAF" w:rsidRPr="00B83267" w:rsidRDefault="00487DAF" w:rsidP="000B5A47">
            <w:pPr>
              <w:jc w:val="right"/>
              <w:rPr>
                <w:rFonts w:ascii="Times New Roman" w:eastAsia="Times New Roman" w:hAnsi="Times New Roman"/>
                <w:szCs w:val="20"/>
              </w:rPr>
            </w:pPr>
            <w:r w:rsidRPr="00B83267">
              <w:rPr>
                <w:rFonts w:ascii="Times New Roman" w:eastAsia="Times New Roman" w:hAnsi="Times New Roman"/>
                <w:szCs w:val="20"/>
              </w:rPr>
              <w:t>0</w:t>
            </w:r>
          </w:p>
        </w:tc>
      </w:tr>
      <w:tr w:rsidR="00487DAF" w:rsidRPr="00B83267" w:rsidTr="00564D75">
        <w:tc>
          <w:tcPr>
            <w:tcW w:w="14743" w:type="dxa"/>
            <w:gridSpan w:val="12"/>
            <w:tcBorders>
              <w:top w:val="single" w:sz="4" w:space="0" w:color="000000"/>
              <w:left w:val="single" w:sz="4" w:space="0" w:color="000000"/>
              <w:bottom w:val="single" w:sz="4" w:space="0" w:color="000000"/>
              <w:right w:val="single" w:sz="4" w:space="0" w:color="000000"/>
            </w:tcBorders>
            <w:hideMark/>
          </w:tcPr>
          <w:p w:rsidR="00487DAF" w:rsidRPr="00B83267" w:rsidRDefault="00487DAF" w:rsidP="00EA3747">
            <w:pPr>
              <w:jc w:val="both"/>
              <w:rPr>
                <w:rFonts w:ascii="Times New Roman" w:eastAsia="Times New Roman" w:hAnsi="Times New Roman"/>
                <w:szCs w:val="20"/>
              </w:rPr>
            </w:pPr>
            <w:r w:rsidRPr="00B83267">
              <w:rPr>
                <w:rFonts w:ascii="Times New Roman" w:eastAsia="Times New Roman" w:hAnsi="Times New Roman"/>
                <w:szCs w:val="20"/>
              </w:rPr>
              <w:t xml:space="preserve">Spolek TABULA RASA vznikl v roce 2019 jako logické vyústění spolupráce tvůrců, kteří se setkali na několika rozdílných projektech. Základ spolku tvoří tvůrci Mikoláš Zika, Jeník Tyl, Jan Brejcha, Kateřina Rundová, kteří společně pracovali na představeních divadla Vosto5 a na Nové scéně Národního divadla. Poprvé pod hlavičkou TABULA RASA uvedl spolek instalaci nazvanou CERN v rámci výstavy festivalu 4 + 4 dny v pohybu, kterou následně přenesl do prostorů divadla Alfred ve dvoře. V roce 2021 připravuje projekty v několika pražských kulturních domech (Divadlo Archa - premiéra konec března 2021, Studio </w:t>
            </w:r>
            <w:proofErr w:type="spellStart"/>
            <w:r w:rsidRPr="00B83267">
              <w:rPr>
                <w:rFonts w:ascii="Times New Roman" w:eastAsia="Times New Roman" w:hAnsi="Times New Roman"/>
                <w:szCs w:val="20"/>
              </w:rPr>
              <w:t>ALTa</w:t>
            </w:r>
            <w:proofErr w:type="spellEnd"/>
            <w:r w:rsidRPr="00B83267">
              <w:rPr>
                <w:rFonts w:ascii="Times New Roman" w:eastAsia="Times New Roman" w:hAnsi="Times New Roman"/>
                <w:szCs w:val="20"/>
              </w:rPr>
              <w:t xml:space="preserve"> - premiéra podzim 2021). V Praze projekt předpokládá uvedení 32 představení a 2 premiér. Výše požadované dotace činí 49,14 % způsobilých nákladů. Spolek dosud podporu HMP v oblasti KUL nezískal. </w:t>
            </w:r>
            <w:r w:rsidRPr="00B83267">
              <w:rPr>
                <w:rFonts w:ascii="Times New Roman" w:eastAsia="Times New Roman" w:hAnsi="Times New Roman"/>
                <w:b/>
                <w:bCs/>
                <w:szCs w:val="20"/>
              </w:rPr>
              <w:t xml:space="preserve">GK: </w:t>
            </w:r>
            <w:r w:rsidRPr="002E714D">
              <w:rPr>
                <w:rFonts w:ascii="Times New Roman" w:eastAsia="Times New Roman" w:hAnsi="Times New Roman"/>
                <w:b/>
                <w:bCs/>
                <w:szCs w:val="20"/>
              </w:rPr>
              <w:t xml:space="preserve">Jádro spolku </w:t>
            </w:r>
            <w:r w:rsidR="00EA3747">
              <w:rPr>
                <w:rFonts w:ascii="Times New Roman" w:eastAsia="Times New Roman" w:hAnsi="Times New Roman"/>
                <w:b/>
                <w:bCs/>
                <w:szCs w:val="20"/>
              </w:rPr>
              <w:t>TABULA RASA</w:t>
            </w:r>
            <w:r w:rsidRPr="002E714D">
              <w:rPr>
                <w:rFonts w:ascii="Times New Roman" w:eastAsia="Times New Roman" w:hAnsi="Times New Roman"/>
                <w:b/>
                <w:bCs/>
                <w:szCs w:val="20"/>
              </w:rPr>
              <w:t xml:space="preserve"> tvoří mladí umělci (Mikoláš Zika, Jeník Tyl, Jan Brejcha, Kateřina Rundová), kteří již ve vícero úspěšných projektech upozornili na své kvality. Společně pak směřují k rozvíjení výtvarně zaměřeného divadla s přesahy do performancí a oživených výtvarných instalací se zaměřením na společenská a ekologická témata. Z dosud samostatně realizovaných projektů „TR“ zaujala především instalace CERN v rámci výstavy festivalu 4 + 4 dny v pohybu, kterou spolek později přenesl do Divadla Alfred ve dvoře. Rovněž projekty avizované pro rok 2021 mají být realizovány v prostorách subjektů, jejichž činnost je již granty podporována (Divadlo Archa a Studio ALTA). S přihlédnutím k této skutečnosti, vzhledem ke snížení financí určených na granty v oblasti kultury a při porovnání s žádostmi, jež byly v grantovém řízení hodnoceny lépe, nelze tento projekt doporučit ke grantové podpoře.</w:t>
            </w:r>
          </w:p>
        </w:tc>
      </w:tr>
      <w:tr w:rsidR="00487DAF" w:rsidRPr="00B83267" w:rsidTr="0018072A">
        <w:tc>
          <w:tcPr>
            <w:tcW w:w="851" w:type="dxa"/>
            <w:tcBorders>
              <w:top w:val="single" w:sz="4" w:space="0" w:color="000000"/>
              <w:left w:val="single" w:sz="4" w:space="0" w:color="000000"/>
              <w:bottom w:val="single" w:sz="4" w:space="0" w:color="000000"/>
              <w:right w:val="single" w:sz="4" w:space="0" w:color="000000"/>
            </w:tcBorders>
            <w:vAlign w:val="center"/>
            <w:hideMark/>
          </w:tcPr>
          <w:p w:rsidR="00487DAF" w:rsidRPr="00B83267" w:rsidRDefault="00487DAF" w:rsidP="000B5A47">
            <w:pPr>
              <w:rPr>
                <w:rFonts w:ascii="Times New Roman" w:eastAsia="Times New Roman" w:hAnsi="Times New Roman"/>
                <w:szCs w:val="20"/>
              </w:rPr>
            </w:pPr>
            <w:r w:rsidRPr="00B83267">
              <w:rPr>
                <w:rFonts w:ascii="Times New Roman" w:eastAsia="Times New Roman" w:hAnsi="Times New Roman"/>
                <w:szCs w:val="20"/>
              </w:rPr>
              <w:t>BB/126</w:t>
            </w:r>
          </w:p>
        </w:tc>
        <w:tc>
          <w:tcPr>
            <w:tcW w:w="2266" w:type="dxa"/>
            <w:tcBorders>
              <w:top w:val="single" w:sz="4" w:space="0" w:color="000000"/>
              <w:left w:val="single" w:sz="4" w:space="0" w:color="000000"/>
              <w:bottom w:val="single" w:sz="4" w:space="0" w:color="000000"/>
              <w:right w:val="single" w:sz="4" w:space="0" w:color="000000"/>
            </w:tcBorders>
            <w:vAlign w:val="center"/>
            <w:hideMark/>
          </w:tcPr>
          <w:p w:rsidR="00487DAF" w:rsidRPr="00B83267" w:rsidRDefault="00487DAF" w:rsidP="000B5A47">
            <w:pPr>
              <w:rPr>
                <w:rFonts w:ascii="Times New Roman" w:eastAsia="Times New Roman" w:hAnsi="Times New Roman"/>
                <w:szCs w:val="20"/>
              </w:rPr>
            </w:pPr>
            <w:r w:rsidRPr="00B83267">
              <w:rPr>
                <w:rFonts w:ascii="Times New Roman" w:eastAsia="Times New Roman" w:hAnsi="Times New Roman"/>
                <w:szCs w:val="20"/>
              </w:rPr>
              <w:t>S-MHMP 1330409/2020</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87DAF" w:rsidRPr="00B83267" w:rsidRDefault="00487DAF" w:rsidP="000B5A47">
            <w:pPr>
              <w:rPr>
                <w:rFonts w:ascii="Times New Roman" w:eastAsia="Times New Roman" w:hAnsi="Times New Roman"/>
                <w:szCs w:val="20"/>
              </w:rPr>
            </w:pPr>
            <w:r w:rsidRPr="00B83267">
              <w:rPr>
                <w:rFonts w:ascii="Times New Roman" w:eastAsia="Times New Roman" w:hAnsi="Times New Roman"/>
                <w:szCs w:val="20"/>
              </w:rPr>
              <w:t>06667988 - USP, zapsaný spolek</w:t>
            </w:r>
          </w:p>
        </w:tc>
        <w:tc>
          <w:tcPr>
            <w:tcW w:w="2288" w:type="dxa"/>
            <w:gridSpan w:val="2"/>
            <w:tcBorders>
              <w:top w:val="single" w:sz="4" w:space="0" w:color="000000"/>
              <w:left w:val="single" w:sz="4" w:space="0" w:color="000000"/>
              <w:bottom w:val="single" w:sz="4" w:space="0" w:color="000000"/>
              <w:right w:val="single" w:sz="4" w:space="0" w:color="000000"/>
            </w:tcBorders>
            <w:vAlign w:val="center"/>
            <w:hideMark/>
          </w:tcPr>
          <w:p w:rsidR="00487DAF" w:rsidRPr="00B83267" w:rsidRDefault="00487DAF" w:rsidP="000B5A47">
            <w:pPr>
              <w:rPr>
                <w:rFonts w:ascii="Times New Roman" w:eastAsia="Times New Roman" w:hAnsi="Times New Roman"/>
                <w:szCs w:val="20"/>
              </w:rPr>
            </w:pPr>
            <w:r w:rsidRPr="00B83267">
              <w:rPr>
                <w:rFonts w:ascii="Times New Roman" w:eastAsia="Times New Roman" w:hAnsi="Times New Roman"/>
                <w:szCs w:val="20"/>
              </w:rPr>
              <w:t>Celoroční koncertní činnost v Jazz klubu U Staré paní v roce 2021</w:t>
            </w:r>
          </w:p>
        </w:tc>
        <w:tc>
          <w:tcPr>
            <w:tcW w:w="1257" w:type="dxa"/>
            <w:gridSpan w:val="2"/>
            <w:tcBorders>
              <w:top w:val="single" w:sz="4" w:space="0" w:color="000000"/>
              <w:left w:val="single" w:sz="4" w:space="0" w:color="000000"/>
              <w:bottom w:val="single" w:sz="4" w:space="0" w:color="000000"/>
              <w:right w:val="single" w:sz="4" w:space="0" w:color="000000"/>
            </w:tcBorders>
            <w:vAlign w:val="center"/>
            <w:hideMark/>
          </w:tcPr>
          <w:p w:rsidR="00487DAF" w:rsidRPr="00B83267" w:rsidRDefault="00487DAF" w:rsidP="000B5A47">
            <w:pPr>
              <w:jc w:val="right"/>
              <w:rPr>
                <w:rFonts w:ascii="Times New Roman" w:eastAsia="Times New Roman" w:hAnsi="Times New Roman"/>
                <w:szCs w:val="20"/>
              </w:rPr>
            </w:pPr>
            <w:r w:rsidRPr="00B83267">
              <w:rPr>
                <w:rFonts w:ascii="Times New Roman" w:eastAsia="Times New Roman" w:hAnsi="Times New Roman"/>
                <w:szCs w:val="20"/>
              </w:rPr>
              <w:t>4 292 515</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87DAF" w:rsidRPr="00B83267" w:rsidRDefault="00487DAF" w:rsidP="000B5A47">
            <w:pPr>
              <w:jc w:val="right"/>
              <w:rPr>
                <w:rFonts w:ascii="Times New Roman" w:eastAsia="Times New Roman" w:hAnsi="Times New Roman"/>
                <w:szCs w:val="20"/>
              </w:rPr>
            </w:pPr>
            <w:r w:rsidRPr="00B83267">
              <w:rPr>
                <w:rFonts w:ascii="Times New Roman" w:eastAsia="Times New Roman" w:hAnsi="Times New Roman"/>
                <w:szCs w:val="20"/>
              </w:rPr>
              <w:t>1 700 000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487DAF" w:rsidRPr="00B83267" w:rsidRDefault="00487DAF" w:rsidP="000B5A47">
            <w:pPr>
              <w:jc w:val="center"/>
              <w:rPr>
                <w:rFonts w:ascii="Times New Roman" w:eastAsia="Times New Roman" w:hAnsi="Times New Roman"/>
                <w:szCs w:val="20"/>
              </w:rPr>
            </w:pPr>
            <w:r w:rsidRPr="00B83267">
              <w:rPr>
                <w:rFonts w:ascii="Times New Roman" w:eastAsia="Times New Roman" w:hAnsi="Times New Roman"/>
                <w:szCs w:val="20"/>
              </w:rPr>
              <w:t>5222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487DAF" w:rsidRPr="00B83267" w:rsidRDefault="00487DAF" w:rsidP="000B5A47">
            <w:pPr>
              <w:jc w:val="center"/>
              <w:rPr>
                <w:rFonts w:ascii="Times New Roman" w:eastAsia="Times New Roman" w:hAnsi="Times New Roman"/>
                <w:szCs w:val="20"/>
              </w:rPr>
            </w:pPr>
            <w:r w:rsidRPr="00B83267">
              <w:rPr>
                <w:rFonts w:ascii="Times New Roman" w:eastAsia="Times New Roman" w:hAnsi="Times New Roman"/>
                <w:szCs w:val="20"/>
              </w:rPr>
              <w:t>50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487DAF" w:rsidRPr="00B83267" w:rsidRDefault="00487DAF" w:rsidP="000B5A47">
            <w:pPr>
              <w:jc w:val="right"/>
              <w:rPr>
                <w:rFonts w:ascii="Times New Roman" w:eastAsia="Times New Roman" w:hAnsi="Times New Roman"/>
                <w:szCs w:val="20"/>
              </w:rPr>
            </w:pPr>
            <w:r w:rsidRPr="00B83267">
              <w:rPr>
                <w:rFonts w:ascii="Times New Roman" w:eastAsia="Times New Roman" w:hAnsi="Times New Roman"/>
                <w:szCs w:val="20"/>
              </w:rPr>
              <w:t>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487DAF" w:rsidRPr="00B83267" w:rsidRDefault="00487DAF" w:rsidP="000B5A47">
            <w:pPr>
              <w:jc w:val="right"/>
              <w:rPr>
                <w:rFonts w:ascii="Times New Roman" w:eastAsia="Times New Roman" w:hAnsi="Times New Roman"/>
                <w:szCs w:val="20"/>
              </w:rPr>
            </w:pPr>
            <w:r w:rsidRPr="00B83267">
              <w:rPr>
                <w:rFonts w:ascii="Times New Roman" w:eastAsia="Times New Roman" w:hAnsi="Times New Roman"/>
                <w:szCs w:val="20"/>
              </w:rPr>
              <w:t>0</w:t>
            </w:r>
          </w:p>
        </w:tc>
      </w:tr>
      <w:tr w:rsidR="00487DAF" w:rsidRPr="00B83267" w:rsidTr="00564D75">
        <w:tc>
          <w:tcPr>
            <w:tcW w:w="14743" w:type="dxa"/>
            <w:gridSpan w:val="12"/>
            <w:tcBorders>
              <w:top w:val="single" w:sz="4" w:space="0" w:color="000000"/>
              <w:left w:val="single" w:sz="4" w:space="0" w:color="000000"/>
              <w:bottom w:val="single" w:sz="4" w:space="0" w:color="000000"/>
              <w:right w:val="single" w:sz="4" w:space="0" w:color="000000"/>
            </w:tcBorders>
            <w:hideMark/>
          </w:tcPr>
          <w:p w:rsidR="00487DAF" w:rsidRPr="00B83267" w:rsidRDefault="00487DAF" w:rsidP="000B5A47">
            <w:pPr>
              <w:jc w:val="both"/>
              <w:rPr>
                <w:rFonts w:ascii="Times New Roman" w:eastAsia="Times New Roman" w:hAnsi="Times New Roman"/>
                <w:szCs w:val="20"/>
              </w:rPr>
            </w:pPr>
            <w:r w:rsidRPr="00B83267">
              <w:rPr>
                <w:rFonts w:ascii="Times New Roman" w:eastAsia="Times New Roman" w:hAnsi="Times New Roman"/>
                <w:szCs w:val="20"/>
              </w:rPr>
              <w:lastRenderedPageBreak/>
              <w:t xml:space="preserve">Celoroční koncertní činnost v renomovaném jazz klubu U Staré paní na Starém Městě pražském. Plánovaných 333 koncertů - profesionální jazzmani z Prahy, polo-amatérské kapely, vlastní programové cykly, zahraniční kapely a výjimeční hudebníci z celé ČR. Kulturní činnost žadatele navazuje na tradici klubu z 90. let a inovacemi obohacuje kulturní nabídku v metropoli. Ekonomicky ztrátová pořadatelská činnost v klubu U Staré paní byla od r. 2017 doposud plně financována ze soukromých zdrojů, bez podpory veřejných rozpočtů. Žadatel se obává, že je tento stav v dlouhodobém horizontu neudržitelný, a proto by byli velmi rádi, pokud by se HMP mohlo na udržení tradiční jazzové scény s vlastním zajímavým programem do budoucna podílet. Výše požadované dotace činí 39,60 % způsobilých nákladů. Žadatel doposud o grantovou podporu HMP v oblasti KUL nežádal, v září 2020 podal ještě další žádosti o podporu formou IÚD č. 5/307 - Stará paní žije a č. 5/306 - Jazz On-line, které jsou v jednání. </w:t>
            </w:r>
            <w:r w:rsidRPr="00B83267">
              <w:rPr>
                <w:rFonts w:ascii="Times New Roman" w:eastAsia="Times New Roman" w:hAnsi="Times New Roman"/>
                <w:b/>
                <w:bCs/>
                <w:szCs w:val="20"/>
              </w:rPr>
              <w:t xml:space="preserve">GK: </w:t>
            </w:r>
            <w:r w:rsidRPr="00A66B4B">
              <w:rPr>
                <w:rFonts w:ascii="Times New Roman" w:eastAsia="Times New Roman" w:hAnsi="Times New Roman"/>
                <w:b/>
                <w:bCs/>
                <w:szCs w:val="20"/>
              </w:rPr>
              <w:t xml:space="preserve">Žádost o podporu koncertního programu v klubu U Staré paní. Klub s kapacitou max. 50 sedících + 15 stojících návštěvníků sídlí v centru Starého </w:t>
            </w:r>
            <w:r>
              <w:rPr>
                <w:rFonts w:ascii="Times New Roman" w:eastAsia="Times New Roman" w:hAnsi="Times New Roman"/>
                <w:b/>
                <w:bCs/>
                <w:szCs w:val="20"/>
              </w:rPr>
              <w:t>M</w:t>
            </w:r>
            <w:r w:rsidRPr="00A66B4B">
              <w:rPr>
                <w:rFonts w:ascii="Times New Roman" w:eastAsia="Times New Roman" w:hAnsi="Times New Roman"/>
                <w:b/>
                <w:bCs/>
                <w:szCs w:val="20"/>
              </w:rPr>
              <w:t>ěsta a je součástí komplexu hotel-restaurace-klub v jednom domě. V době, kdy dochází k omezení prostředků tohoto grant</w:t>
            </w:r>
            <w:r>
              <w:rPr>
                <w:rFonts w:ascii="Times New Roman" w:eastAsia="Times New Roman" w:hAnsi="Times New Roman"/>
                <w:b/>
                <w:bCs/>
                <w:szCs w:val="20"/>
              </w:rPr>
              <w:t>ového</w:t>
            </w:r>
            <w:r w:rsidRPr="00A66B4B">
              <w:rPr>
                <w:rFonts w:ascii="Times New Roman" w:eastAsia="Times New Roman" w:hAnsi="Times New Roman"/>
                <w:b/>
                <w:bCs/>
                <w:szCs w:val="20"/>
              </w:rPr>
              <w:t xml:space="preserve"> řízení</w:t>
            </w:r>
            <w:r>
              <w:rPr>
                <w:rFonts w:ascii="Times New Roman" w:eastAsia="Times New Roman" w:hAnsi="Times New Roman"/>
                <w:b/>
                <w:bCs/>
                <w:szCs w:val="20"/>
              </w:rPr>
              <w:t>,</w:t>
            </w:r>
            <w:r w:rsidRPr="00A66B4B">
              <w:rPr>
                <w:rFonts w:ascii="Times New Roman" w:eastAsia="Times New Roman" w:hAnsi="Times New Roman"/>
                <w:b/>
                <w:bCs/>
                <w:szCs w:val="20"/>
              </w:rPr>
              <w:t xml:space="preserve"> bohužel není prostor k uspokojení vysoké požadované částky tohoto </w:t>
            </w:r>
            <w:proofErr w:type="spellStart"/>
            <w:r w:rsidRPr="00A66B4B">
              <w:rPr>
                <w:rFonts w:ascii="Times New Roman" w:eastAsia="Times New Roman" w:hAnsi="Times New Roman"/>
                <w:b/>
                <w:bCs/>
                <w:szCs w:val="20"/>
              </w:rPr>
              <w:t>prvožadatele</w:t>
            </w:r>
            <w:proofErr w:type="spellEnd"/>
            <w:r w:rsidRPr="00A66B4B">
              <w:rPr>
                <w:rFonts w:ascii="Times New Roman" w:eastAsia="Times New Roman" w:hAnsi="Times New Roman"/>
                <w:b/>
                <w:bCs/>
                <w:szCs w:val="20"/>
              </w:rPr>
              <w:t>. Doporučujeme žadateli hledat podporu i v jiných grant</w:t>
            </w:r>
            <w:r>
              <w:rPr>
                <w:rFonts w:ascii="Times New Roman" w:eastAsia="Times New Roman" w:hAnsi="Times New Roman"/>
                <w:b/>
                <w:bCs/>
                <w:szCs w:val="20"/>
              </w:rPr>
              <w:t>ových</w:t>
            </w:r>
            <w:r w:rsidRPr="00A66B4B">
              <w:rPr>
                <w:rFonts w:ascii="Times New Roman" w:eastAsia="Times New Roman" w:hAnsi="Times New Roman"/>
                <w:b/>
                <w:bCs/>
                <w:szCs w:val="20"/>
              </w:rPr>
              <w:t xml:space="preserve"> programech, třeba těch zaměřených na podporu cestovního ruchu a podnikatel</w:t>
            </w:r>
            <w:r>
              <w:rPr>
                <w:rFonts w:ascii="Times New Roman" w:eastAsia="Times New Roman" w:hAnsi="Times New Roman"/>
                <w:b/>
                <w:bCs/>
                <w:szCs w:val="20"/>
              </w:rPr>
              <w:t>ského</w:t>
            </w:r>
            <w:r w:rsidRPr="00A66B4B">
              <w:rPr>
                <w:rFonts w:ascii="Times New Roman" w:eastAsia="Times New Roman" w:hAnsi="Times New Roman"/>
                <w:b/>
                <w:bCs/>
                <w:szCs w:val="20"/>
              </w:rPr>
              <w:t xml:space="preserve"> sektoru, které vypisují městské části, </w:t>
            </w:r>
            <w:r>
              <w:rPr>
                <w:rFonts w:ascii="Times New Roman" w:eastAsia="Times New Roman" w:hAnsi="Times New Roman"/>
                <w:b/>
                <w:bCs/>
                <w:szCs w:val="20"/>
              </w:rPr>
              <w:t>HMP</w:t>
            </w:r>
            <w:r w:rsidRPr="00A66B4B">
              <w:rPr>
                <w:rFonts w:ascii="Times New Roman" w:eastAsia="Times New Roman" w:hAnsi="Times New Roman"/>
                <w:b/>
                <w:bCs/>
                <w:szCs w:val="20"/>
              </w:rPr>
              <w:t xml:space="preserve"> i MPO, příp. MK.</w:t>
            </w:r>
          </w:p>
        </w:tc>
      </w:tr>
      <w:tr w:rsidR="005959A8" w:rsidRPr="00B83267" w:rsidTr="0018072A">
        <w:tc>
          <w:tcPr>
            <w:tcW w:w="851" w:type="dxa"/>
            <w:tcBorders>
              <w:top w:val="single" w:sz="4" w:space="0" w:color="000000"/>
              <w:left w:val="single" w:sz="4" w:space="0" w:color="000000"/>
              <w:bottom w:val="single" w:sz="4" w:space="0" w:color="000000"/>
              <w:right w:val="single" w:sz="4" w:space="0" w:color="000000"/>
            </w:tcBorders>
            <w:vAlign w:val="center"/>
            <w:hideMark/>
          </w:tcPr>
          <w:p w:rsidR="005959A8" w:rsidRPr="00B83267" w:rsidRDefault="005959A8" w:rsidP="000B5A47">
            <w:pPr>
              <w:rPr>
                <w:rFonts w:ascii="Times New Roman" w:eastAsia="Times New Roman" w:hAnsi="Times New Roman"/>
                <w:szCs w:val="20"/>
              </w:rPr>
            </w:pPr>
            <w:r w:rsidRPr="00B83267">
              <w:rPr>
                <w:rFonts w:ascii="Times New Roman" w:eastAsia="Times New Roman" w:hAnsi="Times New Roman"/>
                <w:szCs w:val="20"/>
              </w:rPr>
              <w:t>BG/583</w:t>
            </w:r>
          </w:p>
        </w:tc>
        <w:tc>
          <w:tcPr>
            <w:tcW w:w="2266" w:type="dxa"/>
            <w:tcBorders>
              <w:top w:val="single" w:sz="4" w:space="0" w:color="000000"/>
              <w:left w:val="single" w:sz="4" w:space="0" w:color="000000"/>
              <w:bottom w:val="single" w:sz="4" w:space="0" w:color="000000"/>
              <w:right w:val="single" w:sz="4" w:space="0" w:color="000000"/>
            </w:tcBorders>
            <w:vAlign w:val="center"/>
            <w:hideMark/>
          </w:tcPr>
          <w:p w:rsidR="005959A8" w:rsidRPr="00B83267" w:rsidRDefault="005959A8" w:rsidP="000B5A47">
            <w:pPr>
              <w:rPr>
                <w:rFonts w:ascii="Times New Roman" w:eastAsia="Times New Roman" w:hAnsi="Times New Roman"/>
                <w:szCs w:val="20"/>
              </w:rPr>
            </w:pPr>
            <w:r w:rsidRPr="00B83267">
              <w:rPr>
                <w:rFonts w:ascii="Times New Roman" w:eastAsia="Times New Roman" w:hAnsi="Times New Roman"/>
                <w:szCs w:val="20"/>
              </w:rPr>
              <w:t>S-MHMP 1333010/2020</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5959A8" w:rsidRPr="00B83267" w:rsidRDefault="005959A8" w:rsidP="000B5A47">
            <w:pPr>
              <w:rPr>
                <w:rFonts w:ascii="Times New Roman" w:eastAsia="Times New Roman" w:hAnsi="Times New Roman"/>
                <w:szCs w:val="20"/>
              </w:rPr>
            </w:pPr>
            <w:r w:rsidRPr="00B83267">
              <w:rPr>
                <w:rFonts w:ascii="Times New Roman" w:eastAsia="Times New Roman" w:hAnsi="Times New Roman"/>
                <w:szCs w:val="20"/>
              </w:rPr>
              <w:t xml:space="preserve">22663568 - </w:t>
            </w:r>
            <w:proofErr w:type="gramStart"/>
            <w:r w:rsidRPr="00B83267">
              <w:rPr>
                <w:rFonts w:ascii="Times New Roman" w:eastAsia="Times New Roman" w:hAnsi="Times New Roman"/>
                <w:szCs w:val="20"/>
              </w:rPr>
              <w:t xml:space="preserve">Paradox, </w:t>
            </w:r>
            <w:proofErr w:type="spellStart"/>
            <w:r w:rsidRPr="00B83267">
              <w:rPr>
                <w:rFonts w:ascii="Times New Roman" w:eastAsia="Times New Roman" w:hAnsi="Times New Roman"/>
                <w:szCs w:val="20"/>
              </w:rPr>
              <w:t>z.s</w:t>
            </w:r>
            <w:proofErr w:type="spellEnd"/>
            <w:r w:rsidRPr="00B83267">
              <w:rPr>
                <w:rFonts w:ascii="Times New Roman" w:eastAsia="Times New Roman" w:hAnsi="Times New Roman"/>
                <w:szCs w:val="20"/>
              </w:rPr>
              <w:t>.</w:t>
            </w:r>
            <w:proofErr w:type="gramEnd"/>
          </w:p>
        </w:tc>
        <w:tc>
          <w:tcPr>
            <w:tcW w:w="2296" w:type="dxa"/>
            <w:gridSpan w:val="3"/>
            <w:tcBorders>
              <w:top w:val="single" w:sz="4" w:space="0" w:color="000000"/>
              <w:left w:val="single" w:sz="4" w:space="0" w:color="000000"/>
              <w:bottom w:val="single" w:sz="4" w:space="0" w:color="000000"/>
              <w:right w:val="single" w:sz="4" w:space="0" w:color="000000"/>
            </w:tcBorders>
            <w:vAlign w:val="center"/>
            <w:hideMark/>
          </w:tcPr>
          <w:p w:rsidR="005959A8" w:rsidRPr="00B83267" w:rsidRDefault="005959A8" w:rsidP="000B5A47">
            <w:pPr>
              <w:rPr>
                <w:rFonts w:ascii="Times New Roman" w:eastAsia="Times New Roman" w:hAnsi="Times New Roman"/>
                <w:szCs w:val="20"/>
              </w:rPr>
            </w:pPr>
            <w:proofErr w:type="spellStart"/>
            <w:r w:rsidRPr="00B83267">
              <w:rPr>
                <w:rFonts w:ascii="Times New Roman" w:eastAsia="Times New Roman" w:hAnsi="Times New Roman"/>
                <w:szCs w:val="20"/>
              </w:rPr>
              <w:t>Crossclub</w:t>
            </w:r>
            <w:proofErr w:type="spellEnd"/>
            <w:r w:rsidRPr="00B83267">
              <w:rPr>
                <w:rFonts w:ascii="Times New Roman" w:eastAsia="Times New Roman" w:hAnsi="Times New Roman"/>
                <w:szCs w:val="20"/>
              </w:rPr>
              <w:t xml:space="preserve"> 2021</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5959A8" w:rsidRPr="00B83267" w:rsidRDefault="005959A8" w:rsidP="000B5A47">
            <w:pPr>
              <w:jc w:val="right"/>
              <w:rPr>
                <w:rFonts w:ascii="Times New Roman" w:eastAsia="Times New Roman" w:hAnsi="Times New Roman"/>
                <w:szCs w:val="20"/>
              </w:rPr>
            </w:pPr>
            <w:r w:rsidRPr="00B83267">
              <w:rPr>
                <w:rFonts w:ascii="Times New Roman" w:eastAsia="Times New Roman" w:hAnsi="Times New Roman"/>
                <w:szCs w:val="20"/>
              </w:rPr>
              <w:t>21 922 400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5959A8" w:rsidRPr="00B83267" w:rsidRDefault="005959A8" w:rsidP="000B5A47">
            <w:pPr>
              <w:jc w:val="right"/>
              <w:rPr>
                <w:rFonts w:ascii="Times New Roman" w:eastAsia="Times New Roman" w:hAnsi="Times New Roman"/>
                <w:szCs w:val="20"/>
              </w:rPr>
            </w:pPr>
            <w:r w:rsidRPr="00B83267">
              <w:rPr>
                <w:rFonts w:ascii="Times New Roman" w:eastAsia="Times New Roman" w:hAnsi="Times New Roman"/>
                <w:szCs w:val="20"/>
              </w:rPr>
              <w:t>10 500 000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5959A8" w:rsidRPr="00B83267" w:rsidRDefault="005959A8" w:rsidP="000B5A47">
            <w:pPr>
              <w:jc w:val="center"/>
              <w:rPr>
                <w:rFonts w:ascii="Times New Roman" w:eastAsia="Times New Roman" w:hAnsi="Times New Roman"/>
                <w:szCs w:val="20"/>
              </w:rPr>
            </w:pPr>
            <w:r w:rsidRPr="00B83267">
              <w:rPr>
                <w:rFonts w:ascii="Times New Roman" w:eastAsia="Times New Roman" w:hAnsi="Times New Roman"/>
                <w:szCs w:val="20"/>
              </w:rPr>
              <w:t>5222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959A8" w:rsidRPr="00B83267" w:rsidRDefault="005959A8" w:rsidP="000B5A47">
            <w:pPr>
              <w:jc w:val="center"/>
              <w:rPr>
                <w:rFonts w:ascii="Times New Roman" w:eastAsia="Times New Roman" w:hAnsi="Times New Roman"/>
                <w:szCs w:val="20"/>
              </w:rPr>
            </w:pPr>
            <w:r w:rsidRPr="00B83267">
              <w:rPr>
                <w:rFonts w:ascii="Times New Roman" w:eastAsia="Times New Roman" w:hAnsi="Times New Roman"/>
                <w:szCs w:val="20"/>
              </w:rPr>
              <w:t>63</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5959A8" w:rsidRPr="00B83267" w:rsidRDefault="005959A8" w:rsidP="000B5A47">
            <w:pPr>
              <w:jc w:val="right"/>
              <w:rPr>
                <w:rFonts w:ascii="Times New Roman" w:eastAsia="Times New Roman" w:hAnsi="Times New Roman"/>
                <w:szCs w:val="20"/>
              </w:rPr>
            </w:pPr>
            <w:r w:rsidRPr="00B83267">
              <w:rPr>
                <w:rFonts w:ascii="Times New Roman" w:eastAsia="Times New Roman" w:hAnsi="Times New Roman"/>
                <w:szCs w:val="20"/>
              </w:rPr>
              <w:t>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5959A8" w:rsidRPr="00B83267" w:rsidRDefault="005959A8" w:rsidP="000B5A47">
            <w:pPr>
              <w:jc w:val="right"/>
              <w:rPr>
                <w:rFonts w:ascii="Times New Roman" w:eastAsia="Times New Roman" w:hAnsi="Times New Roman"/>
                <w:szCs w:val="20"/>
              </w:rPr>
            </w:pPr>
            <w:r w:rsidRPr="00B83267">
              <w:rPr>
                <w:rFonts w:ascii="Times New Roman" w:eastAsia="Times New Roman" w:hAnsi="Times New Roman"/>
                <w:szCs w:val="20"/>
              </w:rPr>
              <w:t>0</w:t>
            </w:r>
          </w:p>
        </w:tc>
      </w:tr>
      <w:tr w:rsidR="005959A8" w:rsidRPr="00B83267" w:rsidTr="00564D75">
        <w:tc>
          <w:tcPr>
            <w:tcW w:w="14743" w:type="dxa"/>
            <w:gridSpan w:val="12"/>
            <w:tcBorders>
              <w:top w:val="single" w:sz="4" w:space="0" w:color="000000"/>
              <w:left w:val="single" w:sz="4" w:space="0" w:color="000000"/>
              <w:bottom w:val="single" w:sz="4" w:space="0" w:color="000000"/>
              <w:right w:val="single" w:sz="4" w:space="0" w:color="000000"/>
            </w:tcBorders>
            <w:hideMark/>
          </w:tcPr>
          <w:p w:rsidR="005959A8" w:rsidRPr="00B83267" w:rsidRDefault="005959A8" w:rsidP="0018072A">
            <w:pPr>
              <w:jc w:val="both"/>
              <w:rPr>
                <w:rFonts w:ascii="Times New Roman" w:eastAsia="Times New Roman" w:hAnsi="Times New Roman"/>
                <w:szCs w:val="20"/>
              </w:rPr>
            </w:pPr>
            <w:proofErr w:type="spellStart"/>
            <w:r w:rsidRPr="00B83267">
              <w:rPr>
                <w:rFonts w:ascii="Times New Roman" w:eastAsia="Times New Roman" w:hAnsi="Times New Roman"/>
                <w:szCs w:val="20"/>
              </w:rPr>
              <w:t>Crossclub</w:t>
            </w:r>
            <w:proofErr w:type="spellEnd"/>
            <w:r w:rsidRPr="00B83267">
              <w:rPr>
                <w:rFonts w:ascii="Times New Roman" w:eastAsia="Times New Roman" w:hAnsi="Times New Roman"/>
                <w:szCs w:val="20"/>
              </w:rPr>
              <w:t xml:space="preserve"> svým unikátním designem a zaměřením obohacuje již skoro dvě dekády nabídku společenského a kulturního života Prahy a zařadil se mezi přední pražské scény alternativní produkce. Projekt je zaměřen na zprostředkování různých složek alternativní kultury, a to za minimální vstupné, či dokonce zdarma. Hlavním cílem je kontinuálně představovat špičky současné alternativy a uvádět na své scéně významné světové umělce. Obsah projektu </w:t>
            </w:r>
            <w:proofErr w:type="spellStart"/>
            <w:r w:rsidRPr="00B83267">
              <w:rPr>
                <w:rFonts w:ascii="Times New Roman" w:eastAsia="Times New Roman" w:hAnsi="Times New Roman"/>
                <w:szCs w:val="20"/>
              </w:rPr>
              <w:t>Crossclub</w:t>
            </w:r>
            <w:proofErr w:type="spellEnd"/>
            <w:r w:rsidRPr="00B83267">
              <w:rPr>
                <w:rFonts w:ascii="Times New Roman" w:eastAsia="Times New Roman" w:hAnsi="Times New Roman"/>
                <w:szCs w:val="20"/>
              </w:rPr>
              <w:t xml:space="preserve"> 2021 je souhrnem dílčích dramaturgických bloků, které se vzájemně prolínají v různých komponovaných a žánrově přesahových projektech mezinárodního významu. Každá z programových sekcí má svého hlavního dramaturga / kurátora. V rámci projektu </w:t>
            </w:r>
            <w:proofErr w:type="spellStart"/>
            <w:r w:rsidRPr="00B83267">
              <w:rPr>
                <w:rFonts w:ascii="Times New Roman" w:eastAsia="Times New Roman" w:hAnsi="Times New Roman"/>
                <w:szCs w:val="20"/>
              </w:rPr>
              <w:t>Cross</w:t>
            </w:r>
            <w:proofErr w:type="spellEnd"/>
            <w:r w:rsidRPr="00B83267">
              <w:rPr>
                <w:rFonts w:ascii="Times New Roman" w:eastAsia="Times New Roman" w:hAnsi="Times New Roman"/>
                <w:szCs w:val="20"/>
              </w:rPr>
              <w:t xml:space="preserve"> club 2021 se bude konat 500 produkcí a 10 premiér. Výše požadované dotace činí 47,90 % způsobilých nákladů. Přehled podpory HMP v oblasti KUL v posledních 3 letech – víceletý grant na činnost: 2018-2.000.000 Kč, 2019 – 2.000 000 Kč, 2020 – 2.000.000 + IUD </w:t>
            </w:r>
            <w:proofErr w:type="spellStart"/>
            <w:r w:rsidRPr="00B83267">
              <w:rPr>
                <w:rFonts w:ascii="Times New Roman" w:eastAsia="Times New Roman" w:hAnsi="Times New Roman"/>
                <w:szCs w:val="20"/>
              </w:rPr>
              <w:t>Covid</w:t>
            </w:r>
            <w:proofErr w:type="spellEnd"/>
            <w:r w:rsidRPr="00B83267">
              <w:rPr>
                <w:rFonts w:ascii="Times New Roman" w:eastAsia="Times New Roman" w:hAnsi="Times New Roman"/>
                <w:szCs w:val="20"/>
              </w:rPr>
              <w:t xml:space="preserve"> 19-400.000 Kč </w:t>
            </w:r>
            <w:r w:rsidRPr="00B83267">
              <w:rPr>
                <w:rFonts w:ascii="Times New Roman" w:eastAsia="Times New Roman" w:hAnsi="Times New Roman"/>
                <w:b/>
                <w:bCs/>
                <w:szCs w:val="20"/>
              </w:rPr>
              <w:t xml:space="preserve">GK: Multižánrové kulturní centrum </w:t>
            </w:r>
            <w:proofErr w:type="spellStart"/>
            <w:r w:rsidRPr="00B83267">
              <w:rPr>
                <w:rFonts w:ascii="Times New Roman" w:eastAsia="Times New Roman" w:hAnsi="Times New Roman"/>
                <w:b/>
                <w:bCs/>
                <w:szCs w:val="20"/>
              </w:rPr>
              <w:t>Crossclub</w:t>
            </w:r>
            <w:proofErr w:type="spellEnd"/>
            <w:r w:rsidRPr="00B83267">
              <w:rPr>
                <w:rFonts w:ascii="Times New Roman" w:eastAsia="Times New Roman" w:hAnsi="Times New Roman"/>
                <w:b/>
                <w:bCs/>
                <w:szCs w:val="20"/>
              </w:rPr>
              <w:t xml:space="preserve">, zaměřující se na alternativní produkci, utvrzuje svou koncepční činností letitou přední pozici na pražské alternativní scéně. Dokládá ji i vytrvalý zájem o program ze strany tuzemského, ale i zahraničního publika, dramaturgie potvrzuje práci s rozvinutou sítí mezinárodních kontaktů. S publikem udržuje </w:t>
            </w:r>
            <w:proofErr w:type="spellStart"/>
            <w:r w:rsidRPr="00B83267">
              <w:rPr>
                <w:rFonts w:ascii="Times New Roman" w:eastAsia="Times New Roman" w:hAnsi="Times New Roman"/>
                <w:b/>
                <w:bCs/>
                <w:szCs w:val="20"/>
              </w:rPr>
              <w:t>Crossclub</w:t>
            </w:r>
            <w:proofErr w:type="spellEnd"/>
            <w:r w:rsidRPr="00B83267">
              <w:rPr>
                <w:rFonts w:ascii="Times New Roman" w:eastAsia="Times New Roman" w:hAnsi="Times New Roman"/>
                <w:b/>
                <w:bCs/>
                <w:szCs w:val="20"/>
              </w:rPr>
              <w:t xml:space="preserve"> živou komunikaci na sociálních sítích, pružně reaguje na současné dění. Předložená žádost pracuje s vícezdrojovým financováním a je formálně velmi dobře vypracována. Současná ekonomická analýza poukazuje na propojenost s restauračními a barovými službami. </w:t>
            </w:r>
            <w:r w:rsidR="0018072A">
              <w:rPr>
                <w:rFonts w:ascii="Times New Roman" w:eastAsia="Times New Roman" w:hAnsi="Times New Roman"/>
                <w:b/>
                <w:bCs/>
                <w:szCs w:val="20"/>
              </w:rPr>
              <w:t>Bodové ohodnocení neumožňuje přidělení grantu.</w:t>
            </w:r>
            <w:r w:rsidRPr="00B83267">
              <w:rPr>
                <w:rFonts w:ascii="Times New Roman" w:eastAsia="Times New Roman" w:hAnsi="Times New Roman"/>
                <w:b/>
                <w:bCs/>
                <w:szCs w:val="20"/>
              </w:rPr>
              <w:t xml:space="preserve"> Vědomi si této zcela nestandartní situace, doporučujeme částečný víceletý grant s postupným "vyvázáním se" z grantové podpory.</w:t>
            </w:r>
          </w:p>
        </w:tc>
      </w:tr>
    </w:tbl>
    <w:p w:rsidR="00487DAF" w:rsidRDefault="00487DAF"/>
    <w:sectPr w:rsidR="00487DAF" w:rsidSect="00487DAF">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DAF"/>
    <w:rsid w:val="0018072A"/>
    <w:rsid w:val="00237470"/>
    <w:rsid w:val="00401722"/>
    <w:rsid w:val="00487DAF"/>
    <w:rsid w:val="005544F9"/>
    <w:rsid w:val="00564D75"/>
    <w:rsid w:val="005959A8"/>
    <w:rsid w:val="00EA37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93D68E-8F3A-4410-ACC4-3AF9B36B8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5959A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959A8"/>
    <w:rPr>
      <w:rFonts w:ascii="Segoe UI" w:hAnsi="Segoe UI" w:cs="Segoe UI"/>
      <w:sz w:val="18"/>
      <w:szCs w:val="18"/>
    </w:rPr>
  </w:style>
  <w:style w:type="paragraph" w:customStyle="1" w:styleId="Default">
    <w:name w:val="Default"/>
    <w:rsid w:val="00564D7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1370</Words>
  <Characters>8088</Characters>
  <Application>Microsoft Office Word</Application>
  <DocSecurity>4</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Peksová Marie (MHMP, KUC)</dc:creator>
  <cp:keywords/>
  <dc:description/>
  <cp:lastModifiedBy>Svobodová Grossová Lenka (MHMP, KUC)</cp:lastModifiedBy>
  <cp:revision>2</cp:revision>
  <cp:lastPrinted>2021-01-05T10:54:00Z</cp:lastPrinted>
  <dcterms:created xsi:type="dcterms:W3CDTF">2021-01-14T08:31:00Z</dcterms:created>
  <dcterms:modified xsi:type="dcterms:W3CDTF">2021-01-14T08:31:00Z</dcterms:modified>
</cp:coreProperties>
</file>