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91" w:rsidRDefault="000E7B42" w:rsidP="0070135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Zápis z</w:t>
      </w:r>
      <w:r w:rsidR="009B18AC">
        <w:rPr>
          <w:b/>
          <w:sz w:val="28"/>
          <w:szCs w:val="28"/>
        </w:rPr>
        <w:t>e 14</w:t>
      </w:r>
      <w:r w:rsidR="00226ADB" w:rsidRPr="00A77595">
        <w:rPr>
          <w:b/>
          <w:sz w:val="28"/>
          <w:szCs w:val="28"/>
        </w:rPr>
        <w:t>. řádného jednání Komise Rady hlavního města Prahy pro rozvoj cestovního ruchu</w:t>
      </w:r>
      <w:r w:rsidR="00701356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="00226ADB" w:rsidRPr="00A77595">
        <w:rPr>
          <w:b/>
          <w:sz w:val="28"/>
          <w:szCs w:val="28"/>
        </w:rPr>
        <w:t xml:space="preserve">konaného dne </w:t>
      </w:r>
      <w:r w:rsidR="009B18AC">
        <w:rPr>
          <w:b/>
          <w:sz w:val="28"/>
          <w:szCs w:val="28"/>
        </w:rPr>
        <w:t>17.9</w:t>
      </w:r>
      <w:r w:rsidR="00FB1D55">
        <w:rPr>
          <w:b/>
          <w:sz w:val="28"/>
          <w:szCs w:val="28"/>
        </w:rPr>
        <w:t>.</w:t>
      </w:r>
      <w:r w:rsidR="005A7778">
        <w:rPr>
          <w:b/>
          <w:sz w:val="28"/>
          <w:szCs w:val="28"/>
        </w:rPr>
        <w:t>2014</w:t>
      </w:r>
      <w:r w:rsidR="00226ADB" w:rsidRPr="00A77595">
        <w:rPr>
          <w:b/>
          <w:sz w:val="28"/>
          <w:szCs w:val="28"/>
        </w:rPr>
        <w:t xml:space="preserve"> v Rezidenci primátora hl. m. Prahy ve 14.00 hod.</w:t>
      </w:r>
    </w:p>
    <w:p w:rsidR="000E7232" w:rsidRDefault="000E7232" w:rsidP="00701356">
      <w:pPr>
        <w:jc w:val="center"/>
        <w:rPr>
          <w:b/>
          <w:sz w:val="28"/>
          <w:szCs w:val="28"/>
        </w:rPr>
      </w:pPr>
    </w:p>
    <w:p w:rsidR="003819EC" w:rsidRDefault="00226ADB" w:rsidP="00A8763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Přítomni:</w:t>
      </w:r>
    </w:p>
    <w:p w:rsidR="000E113B" w:rsidRDefault="00226ADB" w:rsidP="009B18AC">
      <w:pPr>
        <w:ind w:left="1410" w:hanging="1410"/>
        <w:jc w:val="both"/>
      </w:pPr>
      <w:r>
        <w:rPr>
          <w:b/>
        </w:rPr>
        <w:t>Členové:</w:t>
      </w:r>
      <w:r>
        <w:rPr>
          <w:b/>
        </w:rPr>
        <w:tab/>
      </w:r>
      <w:r w:rsidR="00BC1509">
        <w:t xml:space="preserve">Ing. Václav Novotný – předseda, </w:t>
      </w:r>
      <w:r>
        <w:t xml:space="preserve">Mgr. František Cipro – místopředseda, </w:t>
      </w:r>
      <w:r w:rsidR="000E7B42">
        <w:t>Mgr. Jan Kalousek</w:t>
      </w:r>
      <w:r>
        <w:t>, Ing. Otakar John</w:t>
      </w:r>
      <w:r w:rsidR="000E7B42" w:rsidRPr="000E7B42">
        <w:t>, PhD.</w:t>
      </w:r>
      <w:r w:rsidR="009B03C1">
        <w:t>,</w:t>
      </w:r>
      <w:r w:rsidR="000E113B">
        <w:t xml:space="preserve"> </w:t>
      </w:r>
      <w:r w:rsidR="00FB1D55" w:rsidRPr="005A7778">
        <w:t>JUDr. Vladimír Dolejš</w:t>
      </w:r>
      <w:r w:rsidR="00FB1D55">
        <w:t xml:space="preserve">, </w:t>
      </w:r>
      <w:r w:rsidR="009B18AC" w:rsidRPr="009B18AC">
        <w:t xml:space="preserve">Sanjiv Suri, Pavel Dvořák, PhDr. Pavel Maurer, </w:t>
      </w:r>
      <w:r w:rsidR="000E113B">
        <w:t>PhDr. Nora Dolanská</w:t>
      </w:r>
    </w:p>
    <w:p w:rsidR="00226ADB" w:rsidRDefault="00226ADB" w:rsidP="00CF34D3">
      <w:pPr>
        <w:ind w:left="1410" w:hanging="1410"/>
        <w:jc w:val="both"/>
      </w:pPr>
      <w:r>
        <w:rPr>
          <w:b/>
        </w:rPr>
        <w:t>Tajemnice:</w:t>
      </w:r>
      <w:r>
        <w:tab/>
        <w:t>Ing. Iveta Jechová</w:t>
      </w:r>
    </w:p>
    <w:p w:rsidR="009B03C1" w:rsidRDefault="00226ADB" w:rsidP="009B03C1">
      <w:pPr>
        <w:ind w:left="1410" w:hanging="1410"/>
        <w:jc w:val="both"/>
      </w:pPr>
      <w:r>
        <w:rPr>
          <w:b/>
        </w:rPr>
        <w:t>Omluveni:</w:t>
      </w:r>
      <w:r>
        <w:tab/>
      </w:r>
      <w:r w:rsidR="00B9280E" w:rsidRPr="00B9280E">
        <w:t>Daniel Hodek</w:t>
      </w:r>
      <w:r w:rsidR="00B9280E">
        <w:t xml:space="preserve">, </w:t>
      </w:r>
      <w:r w:rsidR="00FB1D55">
        <w:rPr>
          <w:b/>
        </w:rPr>
        <w:t xml:space="preserve"> </w:t>
      </w:r>
      <w:r w:rsidR="005A7778">
        <w:t>Ing. Aleš Michl,</w:t>
      </w:r>
      <w:r w:rsidR="000E7B42">
        <w:t xml:space="preserve"> </w:t>
      </w:r>
      <w:r w:rsidR="00BC1509" w:rsidRPr="00BC1509">
        <w:t xml:space="preserve"> </w:t>
      </w:r>
      <w:r w:rsidR="00FB1D55" w:rsidRPr="005A7778">
        <w:t>Taťána Le Moigne</w:t>
      </w:r>
      <w:r w:rsidR="00B9280E" w:rsidRPr="00B9280E">
        <w:t xml:space="preserve">, Mgr. Stanislav Zeman, </w:t>
      </w:r>
      <w:r w:rsidR="009B18AC" w:rsidRPr="009B18AC">
        <w:t>Ing. Martina Jakl</w:t>
      </w:r>
    </w:p>
    <w:p w:rsidR="002C1E95" w:rsidRPr="00F324DC" w:rsidRDefault="009B03C1" w:rsidP="00F324DC">
      <w:pPr>
        <w:ind w:left="1410" w:hanging="1410"/>
        <w:jc w:val="both"/>
      </w:pPr>
      <w:r w:rsidRPr="00572934">
        <w:rPr>
          <w:b/>
        </w:rPr>
        <w:t>Hosté:</w:t>
      </w:r>
      <w:r>
        <w:t xml:space="preserve">  </w:t>
      </w:r>
      <w:r>
        <w:tab/>
      </w:r>
      <w:r w:rsidR="001238CE">
        <w:t>PhDr. Bohumil Neumann</w:t>
      </w:r>
      <w:r w:rsidR="00F324DC">
        <w:t xml:space="preserve"> (Letiště Praha a.s.)</w:t>
      </w:r>
      <w:r w:rsidR="001238CE">
        <w:t xml:space="preserve">, </w:t>
      </w:r>
      <w:r w:rsidR="00F336F4">
        <w:t xml:space="preserve"> PhDr. Jana Hudcová (OZV)</w:t>
      </w:r>
    </w:p>
    <w:p w:rsidR="000E7232" w:rsidRPr="002C1E95" w:rsidRDefault="000E7232" w:rsidP="002C1E95">
      <w:pPr>
        <w:ind w:left="1410" w:hanging="1410"/>
        <w:jc w:val="both"/>
        <w:rPr>
          <w:sz w:val="10"/>
          <w:szCs w:val="10"/>
        </w:rPr>
      </w:pPr>
    </w:p>
    <w:p w:rsidR="00A0173A" w:rsidRDefault="00A0173A" w:rsidP="000E7232">
      <w:pPr>
        <w:jc w:val="center"/>
        <w:rPr>
          <w:b/>
          <w:sz w:val="36"/>
          <w:szCs w:val="36"/>
        </w:rPr>
      </w:pPr>
      <w:r w:rsidRPr="00A0173A">
        <w:rPr>
          <w:b/>
          <w:sz w:val="36"/>
          <w:szCs w:val="36"/>
        </w:rPr>
        <w:t>Průběh jednání</w:t>
      </w:r>
    </w:p>
    <w:p w:rsidR="008B0CE9" w:rsidRPr="008B0CE9" w:rsidRDefault="008B0CE9" w:rsidP="000E7232">
      <w:pPr>
        <w:jc w:val="center"/>
        <w:rPr>
          <w:b/>
          <w:sz w:val="4"/>
          <w:szCs w:val="4"/>
        </w:rPr>
      </w:pPr>
    </w:p>
    <w:p w:rsidR="00226ADB" w:rsidRPr="00E26704" w:rsidRDefault="00226ADB" w:rsidP="00CF34D3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E26704">
        <w:rPr>
          <w:b/>
          <w:sz w:val="32"/>
          <w:szCs w:val="32"/>
        </w:rPr>
        <w:t xml:space="preserve">Zahájení </w:t>
      </w:r>
    </w:p>
    <w:p w:rsidR="00A0173A" w:rsidRDefault="0026684C" w:rsidP="0074136D">
      <w:pPr>
        <w:ind w:left="708"/>
        <w:jc w:val="both"/>
      </w:pPr>
      <w:r>
        <w:t>Předseda Ing. Novotný</w:t>
      </w:r>
      <w:r w:rsidR="00E46499">
        <w:t xml:space="preserve"> </w:t>
      </w:r>
      <w:r w:rsidR="000753C6">
        <w:t xml:space="preserve">přivítal </w:t>
      </w:r>
      <w:r w:rsidR="00226ADB">
        <w:t>přítomné členy</w:t>
      </w:r>
      <w:r w:rsidR="009817C8">
        <w:t xml:space="preserve"> a </w:t>
      </w:r>
      <w:r w:rsidR="00D81B86">
        <w:t xml:space="preserve">informoval je o tom, že komise </w:t>
      </w:r>
      <w:r w:rsidR="0068081F">
        <w:t>Rady hl. m. Prahy budou</w:t>
      </w:r>
      <w:r w:rsidR="00701446">
        <w:t xml:space="preserve"> </w:t>
      </w:r>
      <w:r w:rsidR="0068081F">
        <w:t xml:space="preserve">pokračovat </w:t>
      </w:r>
      <w:r w:rsidR="007C2C80">
        <w:t xml:space="preserve">i nadále </w:t>
      </w:r>
      <w:r w:rsidR="0068081F">
        <w:t>ve své činnosti</w:t>
      </w:r>
      <w:r w:rsidR="00701446">
        <w:t>.</w:t>
      </w:r>
    </w:p>
    <w:p w:rsidR="0074136D" w:rsidRPr="0074136D" w:rsidRDefault="0074136D" w:rsidP="0074136D">
      <w:pPr>
        <w:pStyle w:val="Odstavecseseznamem"/>
        <w:numPr>
          <w:ilvl w:val="0"/>
          <w:numId w:val="18"/>
        </w:numPr>
        <w:rPr>
          <w:b/>
          <w:sz w:val="32"/>
          <w:szCs w:val="32"/>
        </w:rPr>
      </w:pPr>
      <w:r w:rsidRPr="0074136D">
        <w:rPr>
          <w:b/>
          <w:sz w:val="32"/>
          <w:szCs w:val="32"/>
        </w:rPr>
        <w:t>Problematika v oblasti taxislužby na Letišti Václava Havla Praha</w:t>
      </w:r>
    </w:p>
    <w:p w:rsidR="004002CA" w:rsidRDefault="009714BE" w:rsidP="0074136D">
      <w:pPr>
        <w:pStyle w:val="Odstavecseseznamem"/>
        <w:jc w:val="both"/>
      </w:pPr>
      <w:r>
        <w:t>OZV zaslalo v</w:t>
      </w:r>
      <w:r w:rsidR="002E344A">
        <w:t>edení</w:t>
      </w:r>
      <w:r>
        <w:t xml:space="preserve"> společnosti </w:t>
      </w:r>
      <w:r w:rsidR="002E344A">
        <w:t>Letiště Praha, a.s. s</w:t>
      </w:r>
      <w:r w:rsidR="002E344A" w:rsidRPr="002E344A">
        <w:t>tížn</w:t>
      </w:r>
      <w:r w:rsidR="002E344A">
        <w:t>ost JUDr. Dolejše na chování řidičů taxi před příletovou halou. V reakci na tuto stížnost se jednání Komise zúčastnil PhDr. Bohumil Neumann, ředitel pro Komerční aktivity Letiště Praha, a.s., kterému předseda předal slovo.</w:t>
      </w:r>
    </w:p>
    <w:p w:rsidR="002E344A" w:rsidRDefault="002E344A" w:rsidP="00A15AF0">
      <w:pPr>
        <w:ind w:left="708"/>
        <w:jc w:val="both"/>
      </w:pPr>
      <w:r>
        <w:t>Dr. Neumann informoval, že letiště má uzavřeny smlouvy na zajišťování taxislužby se dvěma firmami, a to AAA Radiotaxi a FIX TAXI</w:t>
      </w:r>
      <w:r w:rsidR="009714BE">
        <w:t xml:space="preserve">. </w:t>
      </w:r>
      <w:r>
        <w:t>Součástí smlouvy jsou velmi striktní podmínky</w:t>
      </w:r>
      <w:r w:rsidR="009714BE">
        <w:t xml:space="preserve">, které byly připraveny ve spolupráci </w:t>
      </w:r>
      <w:r w:rsidR="006801EB">
        <w:t xml:space="preserve">s Magistrátem HMP a Policií ČR a jejichž dodržování letiště vyžaduje a pravidelně kontroluje. </w:t>
      </w:r>
      <w:r w:rsidR="009714BE">
        <w:t>Mezi podmínky patří  m</w:t>
      </w:r>
      <w:r w:rsidR="00FF663A">
        <w:t xml:space="preserve">j. dodržení určitého počtu </w:t>
      </w:r>
      <w:r w:rsidR="00EB3636">
        <w:t>vozů</w:t>
      </w:r>
      <w:r w:rsidR="00FF663A">
        <w:t>, jejich maximálního stáří a účasti na pravidelných kontrolách, o nichž obě společnosti musí předložit doklady.</w:t>
      </w:r>
      <w:r w:rsidR="0002642C">
        <w:t xml:space="preserve"> Další podmínkou smlouvy jsou i striktně daná pravidla chování řidičů.</w:t>
      </w:r>
      <w:r w:rsidR="00726D8E">
        <w:t xml:space="preserve"> Na začátku roku letiště zaregistrovalo větší množství stížností, na které reagovalo zintenzivněním prováděných kontrol. V současné době nejsou registrovány závažnější problémy. Dále dr. Neumann vysvětlil systém parkování v areálu letiště a možnost vyložení a naložení klientů. Před oběma terminály je parkoviště s kapacitou asi 100 parkovacích míst. Zde je dovoleno stát maximálně 15 minut zdarma. Pokud chce někdo zůstat déle, může využít patrových parkovacích domů A a B, kde je základní sazba za parkování 50,- Kč /hod. Automaty u vjezdu </w:t>
      </w:r>
      <w:r w:rsidR="00726D8E">
        <w:lastRenderedPageBreak/>
        <w:t xml:space="preserve">na parkoviště před terminály registrují SPZ a na každou SPZ je povolen vjezd do areálu </w:t>
      </w:r>
      <w:r w:rsidR="007736A4">
        <w:t>pouze 1 x za hodinu.</w:t>
      </w:r>
    </w:p>
    <w:p w:rsidR="00821A31" w:rsidRDefault="00821A31" w:rsidP="00F57BAE">
      <w:pPr>
        <w:ind w:left="360" w:firstLine="348"/>
        <w:jc w:val="both"/>
      </w:pPr>
      <w:r>
        <w:t>Poté následovala diskuse.</w:t>
      </w:r>
    </w:p>
    <w:p w:rsidR="00821A31" w:rsidRDefault="00821A31" w:rsidP="00F57BAE">
      <w:pPr>
        <w:ind w:left="708"/>
        <w:jc w:val="both"/>
      </w:pPr>
      <w:r>
        <w:t xml:space="preserve">Dr. Dolejš </w:t>
      </w:r>
      <w:r w:rsidR="009714BE">
        <w:t>zopakoval svou stížnost</w:t>
      </w:r>
      <w:r>
        <w:t xml:space="preserve"> na </w:t>
      </w:r>
      <w:r w:rsidR="009714BE">
        <w:t>úroveň dispečerů taxislužeb</w:t>
      </w:r>
      <w:r>
        <w:t xml:space="preserve">, která je podle něj nedůstojná, a na chování řidičů, kteří se chovají arogantně vůči klientům, zvláště českým. Dr. Neumann vysvětlil, že dispečeři nemají za úkol komunikaci s klienty, ale </w:t>
      </w:r>
      <w:r w:rsidR="009714BE">
        <w:t>starat se o to</w:t>
      </w:r>
      <w:r>
        <w:t xml:space="preserve">, aby bylo k dispozici dost vozů. Pro klienty jsou určeny informační přepážky v příletové hale. Co se týče chování řidičů, vedení letiště </w:t>
      </w:r>
      <w:r w:rsidR="00B86A28">
        <w:t xml:space="preserve">přijímá stížnosti, které prověřuje, </w:t>
      </w:r>
      <w:r>
        <w:t xml:space="preserve"> a jsou-li důvodné, zjedná nápravu. </w:t>
      </w:r>
      <w:r w:rsidR="00AE0E67" w:rsidRPr="00AE0E67">
        <w:t>Každá z firem má 160 řidičů. Je tedy obtížné všechny uhlídat.</w:t>
      </w:r>
      <w:r w:rsidR="00337455">
        <w:t xml:space="preserve"> </w:t>
      </w:r>
      <w:r>
        <w:t xml:space="preserve">Pokud se řidič dopustí vážnějšího pochybení, je s ním ukončena spolupráce a zároveň je mu odebrána ID karta, </w:t>
      </w:r>
      <w:r w:rsidR="00B86A28">
        <w:t>umožňující vjezd do areálu</w:t>
      </w:r>
      <w:r>
        <w:t>.</w:t>
      </w:r>
      <w:r w:rsidR="00797A69">
        <w:t xml:space="preserve"> </w:t>
      </w:r>
    </w:p>
    <w:p w:rsidR="00361BEA" w:rsidRDefault="00361BEA" w:rsidP="00F57BAE">
      <w:pPr>
        <w:ind w:left="708"/>
        <w:jc w:val="both"/>
      </w:pPr>
      <w:r>
        <w:t xml:space="preserve">Mgr. Kalousek </w:t>
      </w:r>
      <w:r w:rsidR="00F350C4">
        <w:t>navrhl zapracovat do dalšího výb</w:t>
      </w:r>
      <w:r>
        <w:t>ěrového řízení podmínky, které uloží firmě, jak by měla organizačně fungovat.</w:t>
      </w:r>
      <w:r w:rsidR="00030643">
        <w:t xml:space="preserve">  Dr. Neumann vysvětlil, že současné smlouvy platí do roku 2016, ale dané podmínky je možné měnit či doplňovat vnitřním nařízením.</w:t>
      </w:r>
      <w:r w:rsidR="00337455">
        <w:t xml:space="preserve"> Dr. Dolejš navrhl ještě více zintenzivnit kontroly, pan Suri organizovat pravidelná a povinná školení pro řidiče taxi.</w:t>
      </w:r>
    </w:p>
    <w:p w:rsidR="00337455" w:rsidRDefault="00337455" w:rsidP="00F57BAE">
      <w:pPr>
        <w:ind w:left="708"/>
        <w:jc w:val="both"/>
      </w:pPr>
      <w:r>
        <w:t>Další část diskuse se týkala možnosti jiného způsobu dopravy z letiště, především autobusové. Dr. Neumann sdělil, že v budoucnu budou na autobusových zastávkách instalovány  prodejní automaty jízdenek, které budou přijímat platební karty.</w:t>
      </w:r>
    </w:p>
    <w:p w:rsidR="008F7B6A" w:rsidRDefault="008F7B6A" w:rsidP="00F57BAE">
      <w:pPr>
        <w:ind w:left="708"/>
        <w:jc w:val="both"/>
      </w:pPr>
      <w:r>
        <w:t>Na závěr diskuse požádal předseda dr. Neumanna</w:t>
      </w:r>
      <w:r w:rsidR="00E11B2F">
        <w:t xml:space="preserve"> o zaslání vzoru</w:t>
      </w:r>
      <w:r>
        <w:t xml:space="preserve"> současné smlouvy s taxislužbami, aby se k nim město mohlo vyjádřit, popř. navrhnou</w:t>
      </w:r>
      <w:r w:rsidR="00E72CD4">
        <w:t>t</w:t>
      </w:r>
      <w:r>
        <w:t xml:space="preserve"> úpravy nebo doplnění. </w:t>
      </w:r>
      <w:r w:rsidR="001F3EE0">
        <w:t xml:space="preserve"> </w:t>
      </w:r>
      <w:r w:rsidRPr="001F3EE0">
        <w:t>Dr. Neumann zaslání vzorové smlouvy přislíbil.</w:t>
      </w:r>
    </w:p>
    <w:p w:rsidR="00FE7A93" w:rsidRPr="00FE7A93" w:rsidRDefault="00EA38B5" w:rsidP="00FE7A93">
      <w:pPr>
        <w:pStyle w:val="Odstavecseseznamem"/>
        <w:numPr>
          <w:ilvl w:val="0"/>
          <w:numId w:val="18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Výběrová řízení Prague City T</w:t>
      </w:r>
      <w:r w:rsidRPr="00FE7A93">
        <w:rPr>
          <w:b/>
          <w:sz w:val="32"/>
          <w:szCs w:val="32"/>
        </w:rPr>
        <w:t xml:space="preserve">ourism </w:t>
      </w:r>
      <w:r>
        <w:rPr>
          <w:b/>
          <w:sz w:val="32"/>
          <w:szCs w:val="32"/>
        </w:rPr>
        <w:t>v roce 2014</w:t>
      </w:r>
    </w:p>
    <w:p w:rsidR="00FE7A93" w:rsidRDefault="00FE7A93" w:rsidP="00FE7A93">
      <w:pPr>
        <w:pStyle w:val="Odstavecseseznamem"/>
        <w:jc w:val="both"/>
      </w:pPr>
      <w:r>
        <w:t>Dalším bodem pro</w:t>
      </w:r>
      <w:r w:rsidR="00CF16E2">
        <w:t xml:space="preserve">gramu byla informace </w:t>
      </w:r>
      <w:r w:rsidR="00DA58CF">
        <w:t xml:space="preserve">PhDr. Dolanské </w:t>
      </w:r>
      <w:r w:rsidR="00CF16E2">
        <w:t>o stavu výběrových řízení, která organizovala PIS – PCT</w:t>
      </w:r>
      <w:r w:rsidR="00DA58CF">
        <w:t xml:space="preserve"> v roce 2014</w:t>
      </w:r>
      <w:r w:rsidR="00CF16E2">
        <w:t>.</w:t>
      </w:r>
      <w:r w:rsidR="00DA58CF">
        <w:t xml:space="preserve"> Materiál byl </w:t>
      </w:r>
      <w:r w:rsidR="00CF16E2">
        <w:t>členům Komise předem zaslán a zároveň v tištěné verzi rozdán i před jednáním.</w:t>
      </w:r>
      <w:r w:rsidR="00DA58CF">
        <w:t xml:space="preserve"> </w:t>
      </w:r>
    </w:p>
    <w:p w:rsidR="00DA58CF" w:rsidRDefault="00DA58CF" w:rsidP="00A32AFC">
      <w:pPr>
        <w:ind w:left="708"/>
        <w:jc w:val="both"/>
      </w:pPr>
      <w:r>
        <w:t>I na toto téma proběhla diskuse.</w:t>
      </w:r>
      <w:r w:rsidR="00A32AFC">
        <w:t xml:space="preserve"> Předseda vysvětlil, že současný systém vypisování výběrových řízení na veřejné zakázky se zdá být zdlouhavější a komplikovanější než dřívější systém </w:t>
      </w:r>
      <w:r w:rsidR="00020168">
        <w:t xml:space="preserve">grantů a </w:t>
      </w:r>
      <w:r w:rsidR="00A32AFC">
        <w:t xml:space="preserve">partnerství, ale je finálně mnohem efektivnější. </w:t>
      </w:r>
    </w:p>
    <w:p w:rsidR="00964D23" w:rsidRDefault="00A32AFC" w:rsidP="007915DD">
      <w:pPr>
        <w:ind w:left="708"/>
        <w:jc w:val="both"/>
      </w:pPr>
      <w:r>
        <w:t>Dotazy členů směřovaly především k </w:t>
      </w:r>
      <w:r w:rsidR="008C2817">
        <w:t>výběrové</w:t>
      </w:r>
      <w:r>
        <w:t xml:space="preserve">mu řízení na  polep letadel a k výběrovému řízení na realizační veletržní agenturu.  Dle sdělení dr. Dolanské a pana Suriho bude mít na MICE veletrzích Praha samostatný stánek realizovaný v novém </w:t>
      </w:r>
      <w:r w:rsidR="008C2817">
        <w:t>vizuálním stylu. Aby nedocházel</w:t>
      </w:r>
      <w:r w:rsidR="009177F0">
        <w:t>o</w:t>
      </w:r>
      <w:r>
        <w:t xml:space="preserve"> k matení návštěvníků veletrhů, snaží se Praha o maximální spolupráci s agenturou CzechTourism, která se veletrhů zúčastňuje také s vlastním stánkem</w:t>
      </w:r>
      <w:r w:rsidR="005D5534">
        <w:t>,</w:t>
      </w:r>
      <w:r w:rsidR="009177F0">
        <w:t xml:space="preserve"> a i její prezentace zahrnuje hlavní město</w:t>
      </w:r>
      <w:r w:rsidR="005D5534">
        <w:t>. Oba stánky by měly</w:t>
      </w:r>
      <w:r>
        <w:t xml:space="preserve"> být</w:t>
      </w:r>
      <w:r w:rsidR="009177F0">
        <w:t xml:space="preserve"> proto umístěny v těsné blízkosti a </w:t>
      </w:r>
      <w:r w:rsidR="00F30DAF">
        <w:t xml:space="preserve">také </w:t>
      </w:r>
      <w:r w:rsidR="009177F0">
        <w:t>na co nejprestižnějším místě. Praha se dlouhodobě snaží o co nejlepší umístění na žebříčku nejatraktivnějších míst pro MICE akce.</w:t>
      </w:r>
      <w:r w:rsidR="00FE03A5">
        <w:t xml:space="preserve"> Ing. John se dotázal, jaké výstupy budou z výběrového řízení na kreativní agenturu. Dr. Dolanská odpověděla, že se jedná výhradně o on-line kampaň a výstupy budou spoty na různá témata, fotografie, reportáže, bannery </w:t>
      </w:r>
      <w:r w:rsidR="00FE03A5">
        <w:lastRenderedPageBreak/>
        <w:t>apod., které budou dále využitelné i pro jiné druhy kampaní. Cílem</w:t>
      </w:r>
      <w:r w:rsidR="00994BC9">
        <w:t xml:space="preserve"> on-line kampaně</w:t>
      </w:r>
      <w:r w:rsidR="00FE03A5">
        <w:t xml:space="preserve"> je </w:t>
      </w:r>
      <w:r w:rsidR="00994BC9">
        <w:t xml:space="preserve">finální </w:t>
      </w:r>
      <w:r w:rsidR="00FE03A5">
        <w:t xml:space="preserve">přesměrování </w:t>
      </w:r>
      <w:r w:rsidR="00994BC9">
        <w:t>uživatelů</w:t>
      </w:r>
      <w:r w:rsidR="00FE03A5">
        <w:t xml:space="preserve"> na webové stránky PIS-PCT. Mgr. Cipro doplnil, že kampaň lze v jejím průběhu upravovat a reagovat tak na případné změny na trhu. </w:t>
      </w:r>
    </w:p>
    <w:p w:rsidR="00964D23" w:rsidRPr="00A92E35" w:rsidRDefault="008B08F1" w:rsidP="00A92E35">
      <w:pPr>
        <w:pStyle w:val="Odstavecseseznamem"/>
        <w:numPr>
          <w:ilvl w:val="0"/>
          <w:numId w:val="18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Různé</w:t>
      </w:r>
    </w:p>
    <w:p w:rsidR="001B7007" w:rsidRDefault="006577EF" w:rsidP="007915DD">
      <w:pPr>
        <w:ind w:left="720"/>
        <w:jc w:val="both"/>
      </w:pPr>
      <w:r>
        <w:t>V tomto bodě předseda informoval členy Komise o pozastavení partnerství mezi Prahou a ruskými města</w:t>
      </w:r>
      <w:r w:rsidR="006B11D9">
        <w:t>y</w:t>
      </w:r>
      <w:r>
        <w:t xml:space="preserve"> Moskvou a Sankt Petěrburgem</w:t>
      </w:r>
      <w:r w:rsidR="008207F3">
        <w:t>. Dle jeho názoru tato skutečnost neovlivní příjezdový turismus z Ruska. Ve statistikách je sice patrný pokles příjezdu ruských turistů, ale ten je podle něj způsoben spíše jinými faktory, např. poklesem kupní síly Rusů.</w:t>
      </w:r>
      <w:r w:rsidR="00412780">
        <w:t xml:space="preserve"> Navíc pozastavení partnerství nebrání spolupráci na nižších úrovních. Připouští však možnost negativního mediálního odrazu.</w:t>
      </w:r>
    </w:p>
    <w:p w:rsidR="001E5927" w:rsidRDefault="00412780" w:rsidP="007915DD">
      <w:pPr>
        <w:ind w:left="708"/>
        <w:jc w:val="both"/>
      </w:pPr>
      <w:r>
        <w:t>Dalším tématem tohoto bodu byla průvodcovská činnost. Praha dlouhodobě řeší problémy s nabízením průvodcovských služeb na Staroměstském náměstí, kde jsou v rámci tržního řádu</w:t>
      </w:r>
      <w:r w:rsidR="001E5927">
        <w:t xml:space="preserve"> zřízena dvě stanoviště, kde</w:t>
      </w:r>
      <w:r>
        <w:t xml:space="preserve"> průvodci smějí nabízet své služby. Vzhledem k tomu, že průvodcovská činnost byla </w:t>
      </w:r>
      <w:r w:rsidR="006B11D9">
        <w:t xml:space="preserve">v minulosti </w:t>
      </w:r>
      <w:r>
        <w:t>převedena do volných živností</w:t>
      </w:r>
      <w:r w:rsidR="006B11D9">
        <w:t>,</w:t>
      </w:r>
      <w:r>
        <w:t xml:space="preserve"> může</w:t>
      </w:r>
      <w:r w:rsidR="006B11D9">
        <w:t xml:space="preserve"> ji vykonávat prakticky kdokoli. V důsledku toho d</w:t>
      </w:r>
      <w:r>
        <w:t>ošlo k mohutnému navýšení nabídky na tomto místě, které je</w:t>
      </w:r>
      <w:r w:rsidR="001E5927">
        <w:t xml:space="preserve"> největším turistickým </w:t>
      </w:r>
      <w:r>
        <w:t>centrem.</w:t>
      </w:r>
      <w:r w:rsidR="001E5927">
        <w:t xml:space="preserve"> Předseda dal k uvážení jako možnost řešení tohoto problému rozšíření počtu takových míst, která by byla zahrnuta do tržního řádu. </w:t>
      </w:r>
    </w:p>
    <w:p w:rsidR="001E5927" w:rsidRDefault="001E5927" w:rsidP="007915DD">
      <w:pPr>
        <w:ind w:left="360" w:firstLine="348"/>
        <w:jc w:val="both"/>
      </w:pPr>
      <w:r>
        <w:t>Členové Komise s tímto řešením souhlasili.</w:t>
      </w:r>
    </w:p>
    <w:p w:rsidR="001E5927" w:rsidRDefault="001E5927" w:rsidP="007915DD">
      <w:pPr>
        <w:ind w:left="708"/>
        <w:jc w:val="both"/>
      </w:pPr>
      <w:r>
        <w:t xml:space="preserve">Následovala informace o vyhlášení grantů v oblasti kongresového turismu na rok 2015. </w:t>
      </w:r>
      <w:r w:rsidR="006D2D68">
        <w:t>Členové byli seznámeni se změnou podmínek pro přidělení grantu, a to změnou minimálního počtu účastníků kongresu z 1500 na 1200 osob.</w:t>
      </w:r>
      <w:r w:rsidR="00A94449">
        <w:t xml:space="preserve"> Uzávěrka příjmu žádostí je 1.10.2014.</w:t>
      </w:r>
    </w:p>
    <w:p w:rsidR="00AE29B4" w:rsidRDefault="00071D5C" w:rsidP="007915DD">
      <w:pPr>
        <w:ind w:left="708"/>
        <w:jc w:val="both"/>
      </w:pPr>
      <w:r>
        <w:t>Dalším</w:t>
      </w:r>
      <w:r w:rsidR="00A94449" w:rsidRPr="002F2953">
        <w:t xml:space="preserve"> tématem v tomto bodě byla </w:t>
      </w:r>
      <w:r w:rsidR="002F2953" w:rsidRPr="002F2953">
        <w:t xml:space="preserve">diskuse, týkající se problematiky směnárenské činnosti na území hlavního města. </w:t>
      </w:r>
      <w:r w:rsidR="006202D0">
        <w:t xml:space="preserve">I přes novelu zákona o směnárenské činnosti, která platí od listopadu 2013, stále některé směnárny používají při své činnosti </w:t>
      </w:r>
      <w:r w:rsidR="000A183F">
        <w:t xml:space="preserve">různé </w:t>
      </w:r>
      <w:r w:rsidR="006202D0">
        <w:t xml:space="preserve">nekalé praktiky. Jedná se především o snadno zaměnitelné kurzovní lístky, neinformování klienta o výši poplatku za transakci a </w:t>
      </w:r>
      <w:r w:rsidR="000A183F">
        <w:t xml:space="preserve">také </w:t>
      </w:r>
      <w:r w:rsidR="006202D0">
        <w:t xml:space="preserve">nemožnost jejího stornování. Tento fenomén </w:t>
      </w:r>
      <w:r w:rsidR="00C205A1">
        <w:t>se úzce dotýká příjezdového turismu</w:t>
      </w:r>
      <w:r w:rsidR="000A183F">
        <w:t>, a proto</w:t>
      </w:r>
      <w:r w:rsidR="000A183F" w:rsidRPr="000A183F">
        <w:t xml:space="preserve"> se nejpalčivěji projevuje v</w:t>
      </w:r>
      <w:r w:rsidR="000A183F">
        <w:t> </w:t>
      </w:r>
      <w:r w:rsidR="000A183F" w:rsidRPr="000A183F">
        <w:t>Praze</w:t>
      </w:r>
      <w:r w:rsidR="000A183F">
        <w:t xml:space="preserve">, kde </w:t>
      </w:r>
      <w:r w:rsidR="00C205A1">
        <w:t xml:space="preserve">je nejvíc turistů i směnáren. Proto ho město chce aktivně řešit a úzce spolupracuje s ČNB, která je výlučným regulátorem této činnosti. Ve vlastní kompetenci se Praha zaměřuje především na informování návštěvníků a doporučení, kde a jak mají své peníze měnit. Ve spolupráci s PIS chce iniciovat vznik mobilní aplikace.  </w:t>
      </w:r>
    </w:p>
    <w:p w:rsidR="00B412D1" w:rsidRDefault="00B412D1" w:rsidP="007915DD">
      <w:pPr>
        <w:ind w:left="708"/>
        <w:jc w:val="both"/>
      </w:pPr>
      <w:r>
        <w:t xml:space="preserve">Ing. John informoval, že se před přijetím novely zákona o směnárenské činnosti </w:t>
      </w:r>
      <w:r w:rsidR="00432272">
        <w:t>účastnil spolu s Mgr. Kalouskem</w:t>
      </w:r>
      <w:r>
        <w:t xml:space="preserve"> jednání se zástupci ČNB, na kterých byla dohodnuta určitá pravidla.  Z finální verze novely však </w:t>
      </w:r>
      <w:r w:rsidR="00432272">
        <w:t>vypadly</w:t>
      </w:r>
      <w:r>
        <w:t xml:space="preserve"> dvě důležité v</w:t>
      </w:r>
      <w:r w:rsidR="00432272">
        <w:t>ěci, a to 1) povinnost směnárny předem písemně  seznámit klienta s podmínkami výměny peněz resp. konkrétní transakce a 2) povinnost směnárny na základě požadavku klienta příslušnou transakci stornovat bezprostředně po jejím ukončení a peníze vrátit.</w:t>
      </w:r>
    </w:p>
    <w:p w:rsidR="000A0518" w:rsidRDefault="000A0518" w:rsidP="007915DD">
      <w:pPr>
        <w:ind w:left="708"/>
        <w:jc w:val="both"/>
      </w:pPr>
      <w:r>
        <w:t xml:space="preserve">Předseda uvedl, že Praha má zákonodárnou iniciativu a může tedy iniciovat úpravu zákona v tomto směru. </w:t>
      </w:r>
    </w:p>
    <w:p w:rsidR="00DD0934" w:rsidRDefault="00BE2182" w:rsidP="007915DD">
      <w:pPr>
        <w:ind w:left="708"/>
        <w:jc w:val="both"/>
      </w:pPr>
      <w:r>
        <w:lastRenderedPageBreak/>
        <w:t>Poté</w:t>
      </w:r>
      <w:r w:rsidR="00DD0934">
        <w:t xml:space="preserve"> informovala dr. Dolanská o zlepšení situace s kapsáři u Čechova mostu v místě parkování turistických autobusů a vyzdvihla přístup Městské policie, která na výzvu PIS-PCT rázně zakročila.</w:t>
      </w:r>
    </w:p>
    <w:p w:rsidR="00DD0934" w:rsidRDefault="00DD0934" w:rsidP="007915DD">
      <w:pPr>
        <w:ind w:left="708"/>
        <w:jc w:val="both"/>
      </w:pPr>
      <w:r>
        <w:t>Na dotaz  Mgr. Kalouska dr. Dolanská sdělila, že od 1.102014 se budou překlápět webové stránky PIS-PCT z domény Prague Welcome na novou doménu Prague.eu.</w:t>
      </w:r>
    </w:p>
    <w:p w:rsidR="00E36BD1" w:rsidRPr="002B340A" w:rsidRDefault="00A71C2E" w:rsidP="007915DD">
      <w:pPr>
        <w:ind w:left="708"/>
        <w:jc w:val="both"/>
      </w:pPr>
      <w:r w:rsidRPr="00A71C2E">
        <w:t>Na konci bodu „různé“</w:t>
      </w:r>
      <w:r w:rsidR="00C0395A">
        <w:t xml:space="preserve"> informoval předseda členy komise o situaci na Výstavišti Praha. Ke konci roku 2014 bude ukončena smlouva se společností </w:t>
      </w:r>
      <w:r w:rsidR="00C0395A" w:rsidRPr="00C0395A">
        <w:t>Incheba Praha spol. s r. o.</w:t>
      </w:r>
      <w:r w:rsidR="00C0395A">
        <w:t>, která původně měla platit až do roku 2021. Správy areálu se ujme společnost Rozvojové projekty a.s. a bude celý areál postupně rekonstruovat. Vzhledem k zanedbanosti areálu se jedná o dlouhodobý úkol. Po rekonstrukci by Výstaviště mohlo být využíváno pro větší akce, např. festivaly tak, aby se tyto aktivity ale</w:t>
      </w:r>
      <w:r w:rsidR="000A183F">
        <w:t>s</w:t>
      </w:r>
      <w:r w:rsidR="00C0395A">
        <w:t>poň částečně přesunuly z centra města.</w:t>
      </w:r>
    </w:p>
    <w:p w:rsidR="008C3D6D" w:rsidRDefault="00DE33C4" w:rsidP="007915DD">
      <w:pPr>
        <w:pStyle w:val="Odstavecseseznamem"/>
        <w:numPr>
          <w:ilvl w:val="0"/>
          <w:numId w:val="18"/>
        </w:numPr>
        <w:rPr>
          <w:b/>
          <w:sz w:val="32"/>
          <w:szCs w:val="32"/>
        </w:rPr>
      </w:pPr>
      <w:r w:rsidRPr="00F93BCB">
        <w:rPr>
          <w:b/>
          <w:sz w:val="32"/>
          <w:szCs w:val="32"/>
        </w:rPr>
        <w:t>Závěr jednání a rekapitulace úkolů</w:t>
      </w:r>
    </w:p>
    <w:p w:rsidR="00EC54D1" w:rsidRDefault="00EC54D1" w:rsidP="007915DD">
      <w:pPr>
        <w:ind w:left="360" w:firstLine="348"/>
        <w:jc w:val="both"/>
      </w:pPr>
      <w:r>
        <w:t>Komise na základě jednání doporučila:</w:t>
      </w:r>
    </w:p>
    <w:p w:rsidR="00EC54D1" w:rsidRDefault="00EC54D1" w:rsidP="00EC54D1">
      <w:pPr>
        <w:pStyle w:val="Odstavecseseznamem"/>
        <w:numPr>
          <w:ilvl w:val="0"/>
          <w:numId w:val="15"/>
        </w:numPr>
        <w:jc w:val="both"/>
      </w:pPr>
      <w:r>
        <w:t>prostudovat podmínky smlouvy mezi Letištěm Praha, a.s. a provozovateli taxislužby na Letišti Václava Havla Praha a navrhnout případné změny či doplnění</w:t>
      </w:r>
    </w:p>
    <w:p w:rsidR="00626A8E" w:rsidRDefault="00626A8E" w:rsidP="00EC54D1">
      <w:pPr>
        <w:pStyle w:val="Odstavecseseznamem"/>
        <w:numPr>
          <w:ilvl w:val="0"/>
          <w:numId w:val="15"/>
        </w:numPr>
        <w:jc w:val="both"/>
      </w:pPr>
      <w:r>
        <w:t>rozšířit místa v centru Prahy pro nabízení průvodcovských služeb a zahrnout je do tržního řádu</w:t>
      </w:r>
    </w:p>
    <w:p w:rsidR="00EC54D1" w:rsidRPr="0054000D" w:rsidRDefault="00626A8E" w:rsidP="0054000D">
      <w:pPr>
        <w:pStyle w:val="Odstavecseseznamem"/>
        <w:numPr>
          <w:ilvl w:val="0"/>
          <w:numId w:val="15"/>
        </w:numPr>
        <w:jc w:val="both"/>
      </w:pPr>
      <w:r>
        <w:t>využít  zákonodárné iniciativy Prahy</w:t>
      </w:r>
      <w:r w:rsidR="00D55E0E">
        <w:t xml:space="preserve"> </w:t>
      </w:r>
      <w:r>
        <w:t>a</w:t>
      </w:r>
      <w:r w:rsidR="00D55E0E">
        <w:t xml:space="preserve">  </w:t>
      </w:r>
      <w:r w:rsidR="00EC54D1">
        <w:t xml:space="preserve">pokusit se iniciovat úpravu zákona  č. </w:t>
      </w:r>
      <w:r w:rsidR="00D55E0E">
        <w:t>277/2013 Sb. o směnárenské činnosti</w:t>
      </w:r>
    </w:p>
    <w:p w:rsidR="001C28AA" w:rsidRDefault="00295641" w:rsidP="007915DD">
      <w:pPr>
        <w:ind w:firstLine="708"/>
        <w:jc w:val="both"/>
      </w:pPr>
      <w:r>
        <w:t>Místop</w:t>
      </w:r>
      <w:r w:rsidR="00BD3063">
        <w:t>ředseda</w:t>
      </w:r>
      <w:r w:rsidR="004214BB">
        <w:t xml:space="preserve"> poděkoval všem přítomným členům a hostům a jednání komise ukončil.</w:t>
      </w:r>
    </w:p>
    <w:p w:rsidR="009B7109" w:rsidRDefault="009B7109" w:rsidP="007915DD">
      <w:pPr>
        <w:ind w:firstLine="708"/>
        <w:jc w:val="both"/>
      </w:pPr>
      <w:r>
        <w:t>Rekapitulace úkolů:</w:t>
      </w:r>
    </w:p>
    <w:p w:rsidR="00F23283" w:rsidRDefault="00467551" w:rsidP="00FD11EA">
      <w:pPr>
        <w:pStyle w:val="Odstavecseseznamem"/>
        <w:numPr>
          <w:ilvl w:val="0"/>
          <w:numId w:val="4"/>
        </w:numPr>
        <w:jc w:val="both"/>
      </w:pPr>
      <w:r>
        <w:t xml:space="preserve">OZV vyžádá od Letiště Praha, a.s. </w:t>
      </w:r>
      <w:r w:rsidR="00C94C51">
        <w:t>vzor</w:t>
      </w:r>
      <w:r>
        <w:t xml:space="preserve"> smlouvy s </w:t>
      </w:r>
      <w:r w:rsidRPr="00467551">
        <w:t>provozovateli taxislužby na Letišti Václava Havla Praha</w:t>
      </w:r>
      <w:r>
        <w:t xml:space="preserve"> k připomínkování hlavním městem</w:t>
      </w:r>
      <w:r w:rsidR="0054000D">
        <w:tab/>
      </w:r>
      <w:r w:rsidR="0054000D">
        <w:tab/>
      </w:r>
      <w:r w:rsidR="0054000D">
        <w:tab/>
        <w:t xml:space="preserve">    </w:t>
      </w:r>
      <w:r w:rsidR="00F23283">
        <w:t xml:space="preserve">T: </w:t>
      </w:r>
      <w:r w:rsidR="00295641">
        <w:t>průběžně</w:t>
      </w:r>
    </w:p>
    <w:p w:rsidR="00F23283" w:rsidRDefault="00467551" w:rsidP="00FD11EA">
      <w:pPr>
        <w:pStyle w:val="Odstavecseseznamem"/>
        <w:numPr>
          <w:ilvl w:val="0"/>
          <w:numId w:val="4"/>
        </w:numPr>
        <w:jc w:val="both"/>
      </w:pPr>
      <w:r>
        <w:t xml:space="preserve">OZV připraví podklady k případné iniciaci úpravy </w:t>
      </w:r>
      <w:r w:rsidRPr="00467551">
        <w:t>zákona  č. 277/2013 Sb. o směnárenské činnosti</w:t>
      </w:r>
      <w:r w:rsidR="00295641">
        <w:tab/>
      </w:r>
      <w:r w:rsidR="0029564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F23283">
        <w:t xml:space="preserve">T: průběžně  </w:t>
      </w:r>
    </w:p>
    <w:p w:rsidR="00552E63" w:rsidRDefault="00552E63" w:rsidP="0054000D">
      <w:pPr>
        <w:tabs>
          <w:tab w:val="left" w:pos="7860"/>
        </w:tabs>
        <w:jc w:val="both"/>
      </w:pPr>
    </w:p>
    <w:p w:rsidR="00BC2E48" w:rsidRDefault="00C91C91" w:rsidP="007915DD">
      <w:pPr>
        <w:ind w:left="708"/>
        <w:jc w:val="both"/>
        <w:rPr>
          <w:b/>
        </w:rPr>
      </w:pPr>
      <w:r>
        <w:t xml:space="preserve">Termín </w:t>
      </w:r>
      <w:r w:rsidR="00590E39">
        <w:t xml:space="preserve"> </w:t>
      </w:r>
      <w:r>
        <w:t>dalšího</w:t>
      </w:r>
      <w:r w:rsidR="00590E39">
        <w:t xml:space="preserve"> </w:t>
      </w:r>
      <w:r>
        <w:t xml:space="preserve"> jednání </w:t>
      </w:r>
      <w:r w:rsidR="00590E39">
        <w:t xml:space="preserve"> </w:t>
      </w:r>
      <w:r>
        <w:t>Komise</w:t>
      </w:r>
      <w:r w:rsidR="00590E39">
        <w:t xml:space="preserve"> </w:t>
      </w:r>
      <w:r w:rsidR="00A65834">
        <w:t xml:space="preserve"> </w:t>
      </w:r>
      <w:r>
        <w:t xml:space="preserve"> Rady</w:t>
      </w:r>
      <w:r w:rsidR="00590E39">
        <w:t xml:space="preserve"> </w:t>
      </w:r>
      <w:r w:rsidR="00A65834">
        <w:t xml:space="preserve"> </w:t>
      </w:r>
      <w:r>
        <w:t xml:space="preserve"> HMP </w:t>
      </w:r>
      <w:r w:rsidR="00590E39">
        <w:t xml:space="preserve"> </w:t>
      </w:r>
      <w:r>
        <w:t xml:space="preserve">pro </w:t>
      </w:r>
      <w:r w:rsidR="00590E39">
        <w:t xml:space="preserve"> </w:t>
      </w:r>
      <w:r>
        <w:t xml:space="preserve">rozvoj </w:t>
      </w:r>
      <w:r w:rsidR="00590E39">
        <w:t xml:space="preserve"> </w:t>
      </w:r>
      <w:r>
        <w:t>cestovního</w:t>
      </w:r>
      <w:r w:rsidR="00590E39">
        <w:t xml:space="preserve"> </w:t>
      </w:r>
      <w:r>
        <w:t xml:space="preserve"> ruchu </w:t>
      </w:r>
      <w:r w:rsidR="00590E39">
        <w:t xml:space="preserve"> </w:t>
      </w:r>
      <w:r>
        <w:t>byl</w:t>
      </w:r>
      <w:r w:rsidR="00590E39">
        <w:t xml:space="preserve"> </w:t>
      </w:r>
      <w:r>
        <w:t xml:space="preserve"> stanoven</w:t>
      </w:r>
      <w:r w:rsidR="00590E39">
        <w:t xml:space="preserve"> </w:t>
      </w:r>
      <w:r>
        <w:t xml:space="preserve"> na  </w:t>
      </w:r>
      <w:r w:rsidR="00590E39">
        <w:t xml:space="preserve"> </w:t>
      </w:r>
      <w:r w:rsidR="00C94C51">
        <w:rPr>
          <w:b/>
        </w:rPr>
        <w:t>8. říjen</w:t>
      </w:r>
      <w:r w:rsidR="00612CB0">
        <w:rPr>
          <w:b/>
        </w:rPr>
        <w:t xml:space="preserve"> ve </w:t>
      </w:r>
      <w:r w:rsidR="004214BB">
        <w:rPr>
          <w:b/>
        </w:rPr>
        <w:t>14.00 hod v Rezidenci primátora HMP na Mariánském náměstí.</w:t>
      </w:r>
    </w:p>
    <w:p w:rsidR="00B34F7F" w:rsidRDefault="00B34F7F" w:rsidP="0054000D">
      <w:pPr>
        <w:jc w:val="both"/>
        <w:rPr>
          <w:b/>
        </w:rPr>
      </w:pPr>
    </w:p>
    <w:p w:rsidR="00EC1845" w:rsidRDefault="00EC1845" w:rsidP="002C4707">
      <w:pPr>
        <w:ind w:left="360"/>
        <w:jc w:val="both"/>
      </w:pPr>
    </w:p>
    <w:p w:rsidR="00BC2E48" w:rsidRDefault="00BC2E48" w:rsidP="007915DD">
      <w:pPr>
        <w:ind w:firstLine="708"/>
        <w:jc w:val="both"/>
      </w:pPr>
      <w:r>
        <w:t xml:space="preserve">Zapsala: </w:t>
      </w:r>
      <w:r w:rsidR="00ED15A7">
        <w:tab/>
      </w:r>
      <w:r>
        <w:t xml:space="preserve"> Iveta Jechová</w:t>
      </w:r>
    </w:p>
    <w:p w:rsidR="000227DE" w:rsidRDefault="000227DE" w:rsidP="007915DD">
      <w:pPr>
        <w:ind w:left="360" w:firstLine="348"/>
        <w:jc w:val="both"/>
      </w:pPr>
      <w:r>
        <w:t>Schválil</w:t>
      </w:r>
      <w:r w:rsidR="00BC2E48">
        <w:t>:</w:t>
      </w:r>
      <w:r w:rsidR="00552E63">
        <w:t xml:space="preserve">  </w:t>
      </w:r>
      <w:r w:rsidR="00A326A6">
        <w:tab/>
      </w:r>
      <w:r w:rsidR="00ED15A7">
        <w:t xml:space="preserve"> </w:t>
      </w:r>
      <w:r w:rsidR="00A326A6">
        <w:t>Ing. Václav Novotný</w:t>
      </w:r>
    </w:p>
    <w:p w:rsidR="00851DFE" w:rsidRDefault="00851DFE" w:rsidP="003222D0">
      <w:pPr>
        <w:ind w:left="360"/>
        <w:jc w:val="both"/>
      </w:pPr>
      <w:r>
        <w:tab/>
        <w:t xml:space="preserve">   </w:t>
      </w:r>
      <w:r>
        <w:tab/>
        <w:t xml:space="preserve"> </w:t>
      </w:r>
    </w:p>
    <w:p w:rsidR="00B34F7F" w:rsidRPr="00DE33C4" w:rsidRDefault="00B34F7F" w:rsidP="003222D0">
      <w:pPr>
        <w:ind w:left="360"/>
        <w:jc w:val="both"/>
      </w:pPr>
      <w:r>
        <w:t xml:space="preserve">  </w:t>
      </w:r>
      <w:r>
        <w:tab/>
      </w:r>
      <w:r>
        <w:tab/>
        <w:t xml:space="preserve"> </w:t>
      </w:r>
    </w:p>
    <w:sectPr w:rsidR="00B34F7F" w:rsidRPr="00DE3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4C21"/>
    <w:multiLevelType w:val="hybridMultilevel"/>
    <w:tmpl w:val="705E6334"/>
    <w:lvl w:ilvl="0" w:tplc="592A10B6">
      <w:start w:val="1"/>
      <w:numFmt w:val="lowerLetter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E0071"/>
    <w:multiLevelType w:val="hybridMultilevel"/>
    <w:tmpl w:val="DD8E30F6"/>
    <w:lvl w:ilvl="0" w:tplc="BDD4F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1744F"/>
    <w:multiLevelType w:val="hybridMultilevel"/>
    <w:tmpl w:val="77F2F468"/>
    <w:lvl w:ilvl="0" w:tplc="0ACEFF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201842"/>
    <w:multiLevelType w:val="hybridMultilevel"/>
    <w:tmpl w:val="376C79EA"/>
    <w:lvl w:ilvl="0" w:tplc="981E4D2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754B69"/>
    <w:multiLevelType w:val="hybridMultilevel"/>
    <w:tmpl w:val="89DAEB6C"/>
    <w:lvl w:ilvl="0" w:tplc="981E4D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56E91"/>
    <w:multiLevelType w:val="hybridMultilevel"/>
    <w:tmpl w:val="FB465CC2"/>
    <w:lvl w:ilvl="0" w:tplc="981E4D2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E2E561E"/>
    <w:multiLevelType w:val="hybridMultilevel"/>
    <w:tmpl w:val="611612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F7187"/>
    <w:multiLevelType w:val="hybridMultilevel"/>
    <w:tmpl w:val="6054F8A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32802"/>
    <w:multiLevelType w:val="hybridMultilevel"/>
    <w:tmpl w:val="2862A370"/>
    <w:lvl w:ilvl="0" w:tplc="3C52A6A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643125"/>
    <w:multiLevelType w:val="hybridMultilevel"/>
    <w:tmpl w:val="10DE5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0093D"/>
    <w:multiLevelType w:val="hybridMultilevel"/>
    <w:tmpl w:val="354E3DA0"/>
    <w:lvl w:ilvl="0" w:tplc="9FEA58B2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2A90C7B"/>
    <w:multiLevelType w:val="hybridMultilevel"/>
    <w:tmpl w:val="C70A6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67B39"/>
    <w:multiLevelType w:val="hybridMultilevel"/>
    <w:tmpl w:val="9E5CB4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C10CF"/>
    <w:multiLevelType w:val="hybridMultilevel"/>
    <w:tmpl w:val="FE6065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448"/>
    <w:multiLevelType w:val="hybridMultilevel"/>
    <w:tmpl w:val="44D401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791085"/>
    <w:multiLevelType w:val="hybridMultilevel"/>
    <w:tmpl w:val="424A9560"/>
    <w:lvl w:ilvl="0" w:tplc="23E215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C43C9"/>
    <w:multiLevelType w:val="hybridMultilevel"/>
    <w:tmpl w:val="94C83658"/>
    <w:lvl w:ilvl="0" w:tplc="1752E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12"/>
  </w:num>
  <w:num w:numId="7">
    <w:abstractNumId w:val="14"/>
  </w:num>
  <w:num w:numId="8">
    <w:abstractNumId w:val="2"/>
  </w:num>
  <w:num w:numId="9">
    <w:abstractNumId w:val="6"/>
  </w:num>
  <w:num w:numId="10">
    <w:abstractNumId w:val="13"/>
  </w:num>
  <w:num w:numId="11">
    <w:abstractNumId w:val="17"/>
  </w:num>
  <w:num w:numId="12">
    <w:abstractNumId w:val="0"/>
  </w:num>
  <w:num w:numId="13">
    <w:abstractNumId w:val="16"/>
  </w:num>
  <w:num w:numId="14">
    <w:abstractNumId w:val="11"/>
  </w:num>
  <w:num w:numId="15">
    <w:abstractNumId w:val="10"/>
  </w:num>
  <w:num w:numId="16">
    <w:abstractNumId w:val="9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DB"/>
    <w:rsid w:val="000009D7"/>
    <w:rsid w:val="000026B5"/>
    <w:rsid w:val="00016D33"/>
    <w:rsid w:val="00020168"/>
    <w:rsid w:val="0002191F"/>
    <w:rsid w:val="000227DE"/>
    <w:rsid w:val="0002642C"/>
    <w:rsid w:val="00026E33"/>
    <w:rsid w:val="00026E68"/>
    <w:rsid w:val="00030643"/>
    <w:rsid w:val="0003269E"/>
    <w:rsid w:val="00040D1C"/>
    <w:rsid w:val="000522DE"/>
    <w:rsid w:val="000527E8"/>
    <w:rsid w:val="00057E2C"/>
    <w:rsid w:val="00065249"/>
    <w:rsid w:val="00071D5C"/>
    <w:rsid w:val="000753C6"/>
    <w:rsid w:val="0008036F"/>
    <w:rsid w:val="00083E63"/>
    <w:rsid w:val="00092236"/>
    <w:rsid w:val="00092AB7"/>
    <w:rsid w:val="000A0518"/>
    <w:rsid w:val="000A183F"/>
    <w:rsid w:val="000A49C1"/>
    <w:rsid w:val="000A684D"/>
    <w:rsid w:val="000B3D41"/>
    <w:rsid w:val="000E113B"/>
    <w:rsid w:val="000E7232"/>
    <w:rsid w:val="000E7B42"/>
    <w:rsid w:val="000F07B4"/>
    <w:rsid w:val="00105E29"/>
    <w:rsid w:val="001063D0"/>
    <w:rsid w:val="00107A9D"/>
    <w:rsid w:val="00112667"/>
    <w:rsid w:val="001209EB"/>
    <w:rsid w:val="001238CE"/>
    <w:rsid w:val="00127789"/>
    <w:rsid w:val="0013087B"/>
    <w:rsid w:val="001316D0"/>
    <w:rsid w:val="00135478"/>
    <w:rsid w:val="00144144"/>
    <w:rsid w:val="001463B8"/>
    <w:rsid w:val="00160E4C"/>
    <w:rsid w:val="00170782"/>
    <w:rsid w:val="00175ADA"/>
    <w:rsid w:val="00181F3F"/>
    <w:rsid w:val="00183DDB"/>
    <w:rsid w:val="00187C1F"/>
    <w:rsid w:val="0019040E"/>
    <w:rsid w:val="001945E2"/>
    <w:rsid w:val="001A7F8E"/>
    <w:rsid w:val="001B18A0"/>
    <w:rsid w:val="001B3A90"/>
    <w:rsid w:val="001B4ADF"/>
    <w:rsid w:val="001B7007"/>
    <w:rsid w:val="001C08DB"/>
    <w:rsid w:val="001C214E"/>
    <w:rsid w:val="001C28AA"/>
    <w:rsid w:val="001C4CBB"/>
    <w:rsid w:val="001C5B12"/>
    <w:rsid w:val="001C5C42"/>
    <w:rsid w:val="001D030F"/>
    <w:rsid w:val="001D4AB0"/>
    <w:rsid w:val="001E5927"/>
    <w:rsid w:val="001E59A0"/>
    <w:rsid w:val="001E6A6D"/>
    <w:rsid w:val="001F371D"/>
    <w:rsid w:val="001F3EE0"/>
    <w:rsid w:val="001F5A73"/>
    <w:rsid w:val="00217849"/>
    <w:rsid w:val="002230A1"/>
    <w:rsid w:val="00223176"/>
    <w:rsid w:val="00223FDF"/>
    <w:rsid w:val="00226ADB"/>
    <w:rsid w:val="00232554"/>
    <w:rsid w:val="00237380"/>
    <w:rsid w:val="00240333"/>
    <w:rsid w:val="00247298"/>
    <w:rsid w:val="002523B0"/>
    <w:rsid w:val="0026684C"/>
    <w:rsid w:val="00266D91"/>
    <w:rsid w:val="00270758"/>
    <w:rsid w:val="0027205D"/>
    <w:rsid w:val="00272BD8"/>
    <w:rsid w:val="002747C5"/>
    <w:rsid w:val="0028375F"/>
    <w:rsid w:val="00290494"/>
    <w:rsid w:val="00295641"/>
    <w:rsid w:val="00297DF1"/>
    <w:rsid w:val="002A2364"/>
    <w:rsid w:val="002A26A5"/>
    <w:rsid w:val="002A3C69"/>
    <w:rsid w:val="002A783D"/>
    <w:rsid w:val="002B2C6A"/>
    <w:rsid w:val="002B340A"/>
    <w:rsid w:val="002B5679"/>
    <w:rsid w:val="002C1E95"/>
    <w:rsid w:val="002C42FA"/>
    <w:rsid w:val="002C4707"/>
    <w:rsid w:val="002D70EB"/>
    <w:rsid w:val="002E1F3F"/>
    <w:rsid w:val="002E344A"/>
    <w:rsid w:val="002F1307"/>
    <w:rsid w:val="002F2953"/>
    <w:rsid w:val="002F2FB5"/>
    <w:rsid w:val="002F3ED4"/>
    <w:rsid w:val="002F476F"/>
    <w:rsid w:val="003048DC"/>
    <w:rsid w:val="0030611A"/>
    <w:rsid w:val="0030710B"/>
    <w:rsid w:val="0030739A"/>
    <w:rsid w:val="00312A9C"/>
    <w:rsid w:val="003222D0"/>
    <w:rsid w:val="003244C4"/>
    <w:rsid w:val="00334E42"/>
    <w:rsid w:val="00337455"/>
    <w:rsid w:val="003410E7"/>
    <w:rsid w:val="00345976"/>
    <w:rsid w:val="003469E3"/>
    <w:rsid w:val="0035046F"/>
    <w:rsid w:val="0035080C"/>
    <w:rsid w:val="00355B3A"/>
    <w:rsid w:val="00361BEA"/>
    <w:rsid w:val="00363371"/>
    <w:rsid w:val="00367DBB"/>
    <w:rsid w:val="00373A57"/>
    <w:rsid w:val="00375F13"/>
    <w:rsid w:val="003819EC"/>
    <w:rsid w:val="00382332"/>
    <w:rsid w:val="0038282D"/>
    <w:rsid w:val="00394E16"/>
    <w:rsid w:val="00395A16"/>
    <w:rsid w:val="003A2432"/>
    <w:rsid w:val="003A7AE3"/>
    <w:rsid w:val="003B3230"/>
    <w:rsid w:val="003B3BD3"/>
    <w:rsid w:val="003B7C08"/>
    <w:rsid w:val="003C6EDA"/>
    <w:rsid w:val="003F0F05"/>
    <w:rsid w:val="003F19C6"/>
    <w:rsid w:val="003F2939"/>
    <w:rsid w:val="003F5FAD"/>
    <w:rsid w:val="004002CA"/>
    <w:rsid w:val="00406F8B"/>
    <w:rsid w:val="00411DE0"/>
    <w:rsid w:val="00412780"/>
    <w:rsid w:val="004214BB"/>
    <w:rsid w:val="0042153A"/>
    <w:rsid w:val="00426599"/>
    <w:rsid w:val="00432272"/>
    <w:rsid w:val="00436890"/>
    <w:rsid w:val="00445964"/>
    <w:rsid w:val="004461A1"/>
    <w:rsid w:val="00452227"/>
    <w:rsid w:val="004525A4"/>
    <w:rsid w:val="0046081A"/>
    <w:rsid w:val="00467551"/>
    <w:rsid w:val="004767EC"/>
    <w:rsid w:val="0048174B"/>
    <w:rsid w:val="004860BE"/>
    <w:rsid w:val="00486218"/>
    <w:rsid w:val="00487FEC"/>
    <w:rsid w:val="0049193C"/>
    <w:rsid w:val="00495559"/>
    <w:rsid w:val="00496C9D"/>
    <w:rsid w:val="004A1A06"/>
    <w:rsid w:val="004A68AF"/>
    <w:rsid w:val="004B0DAF"/>
    <w:rsid w:val="004D1D96"/>
    <w:rsid w:val="004D3C35"/>
    <w:rsid w:val="004E320F"/>
    <w:rsid w:val="004E56D2"/>
    <w:rsid w:val="004E6098"/>
    <w:rsid w:val="004E68E1"/>
    <w:rsid w:val="004E6D20"/>
    <w:rsid w:val="004F5371"/>
    <w:rsid w:val="004F765F"/>
    <w:rsid w:val="00501C14"/>
    <w:rsid w:val="00505188"/>
    <w:rsid w:val="0050732A"/>
    <w:rsid w:val="00512734"/>
    <w:rsid w:val="00517190"/>
    <w:rsid w:val="00525F76"/>
    <w:rsid w:val="005327F1"/>
    <w:rsid w:val="00534530"/>
    <w:rsid w:val="00534AA1"/>
    <w:rsid w:val="0054000D"/>
    <w:rsid w:val="00551A82"/>
    <w:rsid w:val="00552AB2"/>
    <w:rsid w:val="00552E63"/>
    <w:rsid w:val="00557D8B"/>
    <w:rsid w:val="00572579"/>
    <w:rsid w:val="00572934"/>
    <w:rsid w:val="005752C6"/>
    <w:rsid w:val="00575F3D"/>
    <w:rsid w:val="00583C07"/>
    <w:rsid w:val="00590E39"/>
    <w:rsid w:val="00593D04"/>
    <w:rsid w:val="005A5D22"/>
    <w:rsid w:val="005A7778"/>
    <w:rsid w:val="005B4E9D"/>
    <w:rsid w:val="005B7281"/>
    <w:rsid w:val="005C043F"/>
    <w:rsid w:val="005D137B"/>
    <w:rsid w:val="005D5534"/>
    <w:rsid w:val="005E4020"/>
    <w:rsid w:val="005E6374"/>
    <w:rsid w:val="005F09D7"/>
    <w:rsid w:val="005F7EE3"/>
    <w:rsid w:val="00604F07"/>
    <w:rsid w:val="006113BE"/>
    <w:rsid w:val="00612CB0"/>
    <w:rsid w:val="00613074"/>
    <w:rsid w:val="00613E65"/>
    <w:rsid w:val="00614BA7"/>
    <w:rsid w:val="006202D0"/>
    <w:rsid w:val="00621733"/>
    <w:rsid w:val="006248B3"/>
    <w:rsid w:val="006260A1"/>
    <w:rsid w:val="00626A8E"/>
    <w:rsid w:val="00630707"/>
    <w:rsid w:val="00632BB2"/>
    <w:rsid w:val="00632EB0"/>
    <w:rsid w:val="00635617"/>
    <w:rsid w:val="0063648C"/>
    <w:rsid w:val="00637FFD"/>
    <w:rsid w:val="00640714"/>
    <w:rsid w:val="00647459"/>
    <w:rsid w:val="00647CE6"/>
    <w:rsid w:val="006504A7"/>
    <w:rsid w:val="006577EF"/>
    <w:rsid w:val="00660E62"/>
    <w:rsid w:val="006766A9"/>
    <w:rsid w:val="006801EB"/>
    <w:rsid w:val="0068066D"/>
    <w:rsid w:val="0068081F"/>
    <w:rsid w:val="006848C3"/>
    <w:rsid w:val="0068670B"/>
    <w:rsid w:val="00687C07"/>
    <w:rsid w:val="00692588"/>
    <w:rsid w:val="00693345"/>
    <w:rsid w:val="006A3621"/>
    <w:rsid w:val="006A49F1"/>
    <w:rsid w:val="006B01F1"/>
    <w:rsid w:val="006B11D9"/>
    <w:rsid w:val="006B5BFF"/>
    <w:rsid w:val="006C29B9"/>
    <w:rsid w:val="006D01DE"/>
    <w:rsid w:val="006D09A7"/>
    <w:rsid w:val="006D29A6"/>
    <w:rsid w:val="006D2BFC"/>
    <w:rsid w:val="006D2D68"/>
    <w:rsid w:val="006D2F05"/>
    <w:rsid w:val="006D7EAB"/>
    <w:rsid w:val="006E0F5A"/>
    <w:rsid w:val="006E3E3F"/>
    <w:rsid w:val="006E45AF"/>
    <w:rsid w:val="006F0175"/>
    <w:rsid w:val="006F3C96"/>
    <w:rsid w:val="00701356"/>
    <w:rsid w:val="00701446"/>
    <w:rsid w:val="00706D02"/>
    <w:rsid w:val="00711C7F"/>
    <w:rsid w:val="00721D78"/>
    <w:rsid w:val="00722053"/>
    <w:rsid w:val="007262D5"/>
    <w:rsid w:val="00726D8E"/>
    <w:rsid w:val="00734829"/>
    <w:rsid w:val="007356BE"/>
    <w:rsid w:val="0074106D"/>
    <w:rsid w:val="0074136D"/>
    <w:rsid w:val="00753E1B"/>
    <w:rsid w:val="007556D4"/>
    <w:rsid w:val="00757CD8"/>
    <w:rsid w:val="00764662"/>
    <w:rsid w:val="00766726"/>
    <w:rsid w:val="00767CEA"/>
    <w:rsid w:val="007736A4"/>
    <w:rsid w:val="00774700"/>
    <w:rsid w:val="00774FA8"/>
    <w:rsid w:val="0077753A"/>
    <w:rsid w:val="007915DD"/>
    <w:rsid w:val="00794253"/>
    <w:rsid w:val="00797A69"/>
    <w:rsid w:val="007B15D7"/>
    <w:rsid w:val="007B4889"/>
    <w:rsid w:val="007C2C80"/>
    <w:rsid w:val="007D1C1B"/>
    <w:rsid w:val="007D3D44"/>
    <w:rsid w:val="007E36B1"/>
    <w:rsid w:val="007E4818"/>
    <w:rsid w:val="007F596F"/>
    <w:rsid w:val="007F754F"/>
    <w:rsid w:val="00804463"/>
    <w:rsid w:val="0081620B"/>
    <w:rsid w:val="008207F3"/>
    <w:rsid w:val="00821A31"/>
    <w:rsid w:val="008273F4"/>
    <w:rsid w:val="00832879"/>
    <w:rsid w:val="0084585A"/>
    <w:rsid w:val="00851DFE"/>
    <w:rsid w:val="00863298"/>
    <w:rsid w:val="008650D6"/>
    <w:rsid w:val="008733D1"/>
    <w:rsid w:val="008735D2"/>
    <w:rsid w:val="00874023"/>
    <w:rsid w:val="00874FB2"/>
    <w:rsid w:val="0087505B"/>
    <w:rsid w:val="00876CB4"/>
    <w:rsid w:val="00881454"/>
    <w:rsid w:val="008855CE"/>
    <w:rsid w:val="00885E5A"/>
    <w:rsid w:val="008959EA"/>
    <w:rsid w:val="008A2128"/>
    <w:rsid w:val="008A2D32"/>
    <w:rsid w:val="008A5309"/>
    <w:rsid w:val="008A7E78"/>
    <w:rsid w:val="008B08F1"/>
    <w:rsid w:val="008B0CE9"/>
    <w:rsid w:val="008C1116"/>
    <w:rsid w:val="008C1F22"/>
    <w:rsid w:val="008C2817"/>
    <w:rsid w:val="008C3D6D"/>
    <w:rsid w:val="008C4A6C"/>
    <w:rsid w:val="008C67A7"/>
    <w:rsid w:val="008D1900"/>
    <w:rsid w:val="008D28A7"/>
    <w:rsid w:val="008D3141"/>
    <w:rsid w:val="008D4CC2"/>
    <w:rsid w:val="008D6FD5"/>
    <w:rsid w:val="008E035D"/>
    <w:rsid w:val="008E378A"/>
    <w:rsid w:val="008E66FF"/>
    <w:rsid w:val="008F78FC"/>
    <w:rsid w:val="008F7B6A"/>
    <w:rsid w:val="00904273"/>
    <w:rsid w:val="00904D20"/>
    <w:rsid w:val="0090701E"/>
    <w:rsid w:val="009177F0"/>
    <w:rsid w:val="0094174C"/>
    <w:rsid w:val="00950AF4"/>
    <w:rsid w:val="00952317"/>
    <w:rsid w:val="009541F7"/>
    <w:rsid w:val="009564B3"/>
    <w:rsid w:val="0096046C"/>
    <w:rsid w:val="00964398"/>
    <w:rsid w:val="00964D23"/>
    <w:rsid w:val="009702DE"/>
    <w:rsid w:val="009714BE"/>
    <w:rsid w:val="00972A03"/>
    <w:rsid w:val="0097731F"/>
    <w:rsid w:val="0098001A"/>
    <w:rsid w:val="009817C8"/>
    <w:rsid w:val="00986F8A"/>
    <w:rsid w:val="009871FC"/>
    <w:rsid w:val="00992C37"/>
    <w:rsid w:val="0099315E"/>
    <w:rsid w:val="00994787"/>
    <w:rsid w:val="00994BC9"/>
    <w:rsid w:val="009A7F40"/>
    <w:rsid w:val="009B004F"/>
    <w:rsid w:val="009B03C1"/>
    <w:rsid w:val="009B0E91"/>
    <w:rsid w:val="009B125A"/>
    <w:rsid w:val="009B18AC"/>
    <w:rsid w:val="009B7109"/>
    <w:rsid w:val="009C37CD"/>
    <w:rsid w:val="009D01FE"/>
    <w:rsid w:val="009D1887"/>
    <w:rsid w:val="009D1C31"/>
    <w:rsid w:val="009D2141"/>
    <w:rsid w:val="009D3880"/>
    <w:rsid w:val="009F3B00"/>
    <w:rsid w:val="00A0173A"/>
    <w:rsid w:val="00A15AF0"/>
    <w:rsid w:val="00A20FFA"/>
    <w:rsid w:val="00A23079"/>
    <w:rsid w:val="00A239CB"/>
    <w:rsid w:val="00A326A6"/>
    <w:rsid w:val="00A32AFC"/>
    <w:rsid w:val="00A37638"/>
    <w:rsid w:val="00A45F57"/>
    <w:rsid w:val="00A52DDB"/>
    <w:rsid w:val="00A627AB"/>
    <w:rsid w:val="00A62C3F"/>
    <w:rsid w:val="00A6438F"/>
    <w:rsid w:val="00A65834"/>
    <w:rsid w:val="00A6774C"/>
    <w:rsid w:val="00A71C2E"/>
    <w:rsid w:val="00A752AA"/>
    <w:rsid w:val="00A8697A"/>
    <w:rsid w:val="00A87637"/>
    <w:rsid w:val="00A92CDB"/>
    <w:rsid w:val="00A92E35"/>
    <w:rsid w:val="00A94449"/>
    <w:rsid w:val="00AA371D"/>
    <w:rsid w:val="00AA4587"/>
    <w:rsid w:val="00AB0426"/>
    <w:rsid w:val="00AB04C8"/>
    <w:rsid w:val="00AB4728"/>
    <w:rsid w:val="00AC70EC"/>
    <w:rsid w:val="00AD0F8C"/>
    <w:rsid w:val="00AE0E67"/>
    <w:rsid w:val="00AE1D98"/>
    <w:rsid w:val="00AE29B4"/>
    <w:rsid w:val="00AE6AE2"/>
    <w:rsid w:val="00AF27BD"/>
    <w:rsid w:val="00AF699C"/>
    <w:rsid w:val="00AF7299"/>
    <w:rsid w:val="00B0432F"/>
    <w:rsid w:val="00B063F0"/>
    <w:rsid w:val="00B10539"/>
    <w:rsid w:val="00B165AE"/>
    <w:rsid w:val="00B17FCA"/>
    <w:rsid w:val="00B226C7"/>
    <w:rsid w:val="00B233FA"/>
    <w:rsid w:val="00B31429"/>
    <w:rsid w:val="00B34F7F"/>
    <w:rsid w:val="00B412D1"/>
    <w:rsid w:val="00B41F35"/>
    <w:rsid w:val="00B420FA"/>
    <w:rsid w:val="00B447DD"/>
    <w:rsid w:val="00B5113D"/>
    <w:rsid w:val="00B51618"/>
    <w:rsid w:val="00B51A9F"/>
    <w:rsid w:val="00B57402"/>
    <w:rsid w:val="00B574AA"/>
    <w:rsid w:val="00B71A53"/>
    <w:rsid w:val="00B86688"/>
    <w:rsid w:val="00B86A28"/>
    <w:rsid w:val="00B874F4"/>
    <w:rsid w:val="00B9280E"/>
    <w:rsid w:val="00B979B6"/>
    <w:rsid w:val="00BA1C7E"/>
    <w:rsid w:val="00BA209E"/>
    <w:rsid w:val="00BA6CB4"/>
    <w:rsid w:val="00BB1B74"/>
    <w:rsid w:val="00BB3EA2"/>
    <w:rsid w:val="00BB5000"/>
    <w:rsid w:val="00BB5997"/>
    <w:rsid w:val="00BB7EFA"/>
    <w:rsid w:val="00BC1509"/>
    <w:rsid w:val="00BC2E48"/>
    <w:rsid w:val="00BC484B"/>
    <w:rsid w:val="00BD0121"/>
    <w:rsid w:val="00BD3063"/>
    <w:rsid w:val="00BE1DC8"/>
    <w:rsid w:val="00BE2182"/>
    <w:rsid w:val="00BE6528"/>
    <w:rsid w:val="00BF5362"/>
    <w:rsid w:val="00BF5508"/>
    <w:rsid w:val="00C0395A"/>
    <w:rsid w:val="00C10C32"/>
    <w:rsid w:val="00C12964"/>
    <w:rsid w:val="00C14684"/>
    <w:rsid w:val="00C205A1"/>
    <w:rsid w:val="00C22AD4"/>
    <w:rsid w:val="00C26E16"/>
    <w:rsid w:val="00C30CAE"/>
    <w:rsid w:val="00C32B53"/>
    <w:rsid w:val="00C36904"/>
    <w:rsid w:val="00C456AE"/>
    <w:rsid w:val="00C46562"/>
    <w:rsid w:val="00C57552"/>
    <w:rsid w:val="00C6008F"/>
    <w:rsid w:val="00C625F4"/>
    <w:rsid w:val="00C66EC3"/>
    <w:rsid w:val="00C72BCA"/>
    <w:rsid w:val="00C74667"/>
    <w:rsid w:val="00C82A73"/>
    <w:rsid w:val="00C84D2F"/>
    <w:rsid w:val="00C91C91"/>
    <w:rsid w:val="00C94B4C"/>
    <w:rsid w:val="00C94C51"/>
    <w:rsid w:val="00C979DD"/>
    <w:rsid w:val="00CC6DA5"/>
    <w:rsid w:val="00CD4FFC"/>
    <w:rsid w:val="00CE4FB2"/>
    <w:rsid w:val="00CE561F"/>
    <w:rsid w:val="00CE6377"/>
    <w:rsid w:val="00CF16E2"/>
    <w:rsid w:val="00CF34D3"/>
    <w:rsid w:val="00CF616F"/>
    <w:rsid w:val="00D10762"/>
    <w:rsid w:val="00D255C4"/>
    <w:rsid w:val="00D27DD1"/>
    <w:rsid w:val="00D31E34"/>
    <w:rsid w:val="00D476A6"/>
    <w:rsid w:val="00D50CC6"/>
    <w:rsid w:val="00D540C0"/>
    <w:rsid w:val="00D54954"/>
    <w:rsid w:val="00D55E0E"/>
    <w:rsid w:val="00D5708D"/>
    <w:rsid w:val="00D64A03"/>
    <w:rsid w:val="00D70CE0"/>
    <w:rsid w:val="00D81B86"/>
    <w:rsid w:val="00D823AA"/>
    <w:rsid w:val="00D9133E"/>
    <w:rsid w:val="00D96A2A"/>
    <w:rsid w:val="00DA2604"/>
    <w:rsid w:val="00DA58CF"/>
    <w:rsid w:val="00DB08B5"/>
    <w:rsid w:val="00DB7D37"/>
    <w:rsid w:val="00DC30FB"/>
    <w:rsid w:val="00DC499B"/>
    <w:rsid w:val="00DD0934"/>
    <w:rsid w:val="00DE33C4"/>
    <w:rsid w:val="00E071E4"/>
    <w:rsid w:val="00E11B2F"/>
    <w:rsid w:val="00E1606D"/>
    <w:rsid w:val="00E17AEF"/>
    <w:rsid w:val="00E17C13"/>
    <w:rsid w:val="00E26704"/>
    <w:rsid w:val="00E26C85"/>
    <w:rsid w:val="00E32A66"/>
    <w:rsid w:val="00E33483"/>
    <w:rsid w:val="00E33AFC"/>
    <w:rsid w:val="00E3430E"/>
    <w:rsid w:val="00E35144"/>
    <w:rsid w:val="00E364D2"/>
    <w:rsid w:val="00E36BD1"/>
    <w:rsid w:val="00E46499"/>
    <w:rsid w:val="00E65F8A"/>
    <w:rsid w:val="00E70C60"/>
    <w:rsid w:val="00E72CD4"/>
    <w:rsid w:val="00E72F6B"/>
    <w:rsid w:val="00E77EAE"/>
    <w:rsid w:val="00E80531"/>
    <w:rsid w:val="00EA38B5"/>
    <w:rsid w:val="00EB1B7A"/>
    <w:rsid w:val="00EB3636"/>
    <w:rsid w:val="00EB4E10"/>
    <w:rsid w:val="00EB7917"/>
    <w:rsid w:val="00EC1845"/>
    <w:rsid w:val="00EC1A56"/>
    <w:rsid w:val="00EC4D4C"/>
    <w:rsid w:val="00EC54D1"/>
    <w:rsid w:val="00EC7FC4"/>
    <w:rsid w:val="00ED13FD"/>
    <w:rsid w:val="00ED15A7"/>
    <w:rsid w:val="00ED3742"/>
    <w:rsid w:val="00ED3DAC"/>
    <w:rsid w:val="00EE58D5"/>
    <w:rsid w:val="00EF2F85"/>
    <w:rsid w:val="00F001C7"/>
    <w:rsid w:val="00F0597A"/>
    <w:rsid w:val="00F059FC"/>
    <w:rsid w:val="00F05DE6"/>
    <w:rsid w:val="00F107D6"/>
    <w:rsid w:val="00F12D19"/>
    <w:rsid w:val="00F218D6"/>
    <w:rsid w:val="00F23283"/>
    <w:rsid w:val="00F23F4A"/>
    <w:rsid w:val="00F24974"/>
    <w:rsid w:val="00F25CCF"/>
    <w:rsid w:val="00F30DAF"/>
    <w:rsid w:val="00F324DC"/>
    <w:rsid w:val="00F336F4"/>
    <w:rsid w:val="00F350C4"/>
    <w:rsid w:val="00F542A8"/>
    <w:rsid w:val="00F551C7"/>
    <w:rsid w:val="00F560CF"/>
    <w:rsid w:val="00F57BAE"/>
    <w:rsid w:val="00F62845"/>
    <w:rsid w:val="00F67544"/>
    <w:rsid w:val="00F708E2"/>
    <w:rsid w:val="00F755F3"/>
    <w:rsid w:val="00F758E5"/>
    <w:rsid w:val="00F77932"/>
    <w:rsid w:val="00F84C30"/>
    <w:rsid w:val="00F907CE"/>
    <w:rsid w:val="00F93BCB"/>
    <w:rsid w:val="00FA46E1"/>
    <w:rsid w:val="00FA619E"/>
    <w:rsid w:val="00FA64DE"/>
    <w:rsid w:val="00FB1D55"/>
    <w:rsid w:val="00FD11EA"/>
    <w:rsid w:val="00FE03A5"/>
    <w:rsid w:val="00FE7175"/>
    <w:rsid w:val="00FE7A93"/>
    <w:rsid w:val="00FF10D2"/>
    <w:rsid w:val="00FF663A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A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6A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7A9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A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6A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7A9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5360">
                  <w:marLeft w:val="0"/>
                  <w:marRight w:val="0"/>
                  <w:marTop w:val="375"/>
                  <w:marBottom w:val="0"/>
                  <w:divBdr>
                    <w:top w:val="single" w:sz="12" w:space="0" w:color="F1F1F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42152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28A4-A701-4908-AB47-1B7594FC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1488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INF</cp:lastModifiedBy>
  <cp:revision>2</cp:revision>
  <cp:lastPrinted>2014-04-14T07:55:00Z</cp:lastPrinted>
  <dcterms:created xsi:type="dcterms:W3CDTF">2014-09-25T06:21:00Z</dcterms:created>
  <dcterms:modified xsi:type="dcterms:W3CDTF">2014-09-25T06:21:00Z</dcterms:modified>
</cp:coreProperties>
</file>