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58CC" w14:textId="5647EC19" w:rsidR="00120D45" w:rsidRPr="00120D45" w:rsidRDefault="00120D45" w:rsidP="00120D45">
      <w:pPr>
        <w:spacing w:after="0" w:line="360" w:lineRule="auto"/>
        <w:jc w:val="center"/>
        <w:rPr>
          <w:rFonts w:ascii="Times New Roman" w:eastAsia="Aptos" w:hAnsi="Times New Roman" w:cs="Times New Roman"/>
          <w:b/>
          <w:bCs/>
        </w:rPr>
      </w:pPr>
      <w:r w:rsidRPr="00120D45">
        <w:rPr>
          <w:rFonts w:ascii="Times New Roman" w:eastAsia="Aptos" w:hAnsi="Times New Roman" w:cs="Times New Roman"/>
          <w:b/>
          <w:bCs/>
        </w:rPr>
        <w:t xml:space="preserve">Platné znění </w:t>
      </w:r>
      <w:r w:rsidR="00E6738C">
        <w:rPr>
          <w:rFonts w:ascii="Times New Roman" w:eastAsia="Aptos" w:hAnsi="Times New Roman" w:cs="Times New Roman"/>
          <w:b/>
          <w:bCs/>
        </w:rPr>
        <w:t xml:space="preserve">části zákona </w:t>
      </w:r>
      <w:r w:rsidRPr="00120D45">
        <w:rPr>
          <w:rFonts w:ascii="Times New Roman" w:eastAsia="Aptos" w:hAnsi="Times New Roman" w:cs="Times New Roman"/>
          <w:b/>
          <w:bCs/>
        </w:rPr>
        <w:t xml:space="preserve">s vyznačením </w:t>
      </w:r>
      <w:r w:rsidR="00E6738C">
        <w:rPr>
          <w:rFonts w:ascii="Times New Roman" w:eastAsia="Aptos" w:hAnsi="Times New Roman" w:cs="Times New Roman"/>
          <w:b/>
          <w:bCs/>
        </w:rPr>
        <w:t xml:space="preserve">navrhovaných </w:t>
      </w:r>
      <w:r w:rsidRPr="00120D45">
        <w:rPr>
          <w:rFonts w:ascii="Times New Roman" w:eastAsia="Aptos" w:hAnsi="Times New Roman" w:cs="Times New Roman"/>
          <w:b/>
          <w:bCs/>
        </w:rPr>
        <w:t>změn</w:t>
      </w:r>
    </w:p>
    <w:p w14:paraId="721C5B54" w14:textId="77777777" w:rsidR="00120D45" w:rsidRPr="00120D45" w:rsidRDefault="00120D45" w:rsidP="00120D45">
      <w:pPr>
        <w:spacing w:after="0" w:line="360" w:lineRule="auto"/>
        <w:jc w:val="center"/>
        <w:rPr>
          <w:rFonts w:ascii="Times New Roman" w:eastAsia="Aptos" w:hAnsi="Times New Roman" w:cs="Times New Roman"/>
          <w:b/>
          <w:bCs/>
        </w:rPr>
      </w:pPr>
    </w:p>
    <w:p w14:paraId="44E8A1D2" w14:textId="77777777" w:rsidR="00120D45" w:rsidRPr="00120D45" w:rsidRDefault="00120D45" w:rsidP="00120D45">
      <w:pPr>
        <w:spacing w:after="0" w:line="360" w:lineRule="auto"/>
        <w:jc w:val="center"/>
        <w:rPr>
          <w:rFonts w:ascii="Times New Roman" w:eastAsia="Aptos" w:hAnsi="Times New Roman" w:cs="Times New Roman"/>
          <w:b/>
          <w:bCs/>
        </w:rPr>
      </w:pPr>
      <w:r w:rsidRPr="00120D45">
        <w:rPr>
          <w:rFonts w:ascii="Times New Roman" w:eastAsia="Aptos" w:hAnsi="Times New Roman" w:cs="Times New Roman"/>
          <w:b/>
          <w:bCs/>
        </w:rPr>
        <w:t>§ 27f</w:t>
      </w:r>
    </w:p>
    <w:p w14:paraId="2B94DC51" w14:textId="7701D11D" w:rsidR="00120D45" w:rsidRPr="00120D45" w:rsidRDefault="00120D45" w:rsidP="00120D45">
      <w:pPr>
        <w:spacing w:after="0" w:line="360" w:lineRule="auto"/>
        <w:jc w:val="center"/>
        <w:rPr>
          <w:rFonts w:ascii="Times New Roman" w:eastAsia="Aptos" w:hAnsi="Times New Roman" w:cs="Times New Roman"/>
          <w:b/>
          <w:bCs/>
        </w:rPr>
      </w:pPr>
      <w:r w:rsidRPr="00120D45">
        <w:rPr>
          <w:rFonts w:ascii="Times New Roman" w:eastAsia="Aptos" w:hAnsi="Times New Roman" w:cs="Times New Roman"/>
          <w:b/>
          <w:bCs/>
        </w:rPr>
        <w:t>Sdílení elektřiny výrobcem elektřiny, provozovatelem zařízení pro ukládání elektřiny nebo zákazníkem v jiném předávacím místě a sdílení elektřiny zákazníkovi mimo</w:t>
      </w:r>
      <w:r w:rsidR="00E6738C">
        <w:rPr>
          <w:rFonts w:ascii="Times New Roman" w:eastAsia="Aptos" w:hAnsi="Times New Roman" w:cs="Times New Roman"/>
          <w:b/>
          <w:bCs/>
        </w:rPr>
        <w:t> </w:t>
      </w:r>
      <w:r w:rsidRPr="00120D45">
        <w:rPr>
          <w:rFonts w:ascii="Times New Roman" w:eastAsia="Aptos" w:hAnsi="Times New Roman" w:cs="Times New Roman"/>
          <w:b/>
          <w:bCs/>
        </w:rPr>
        <w:t>společenství</w:t>
      </w:r>
    </w:p>
    <w:p w14:paraId="08D4DFE7" w14:textId="77777777" w:rsidR="00120D45" w:rsidRPr="00120D45" w:rsidRDefault="00120D45" w:rsidP="00120D45">
      <w:pPr>
        <w:spacing w:after="0" w:line="360" w:lineRule="auto"/>
        <w:jc w:val="both"/>
        <w:rPr>
          <w:rFonts w:ascii="Times New Roman" w:eastAsia="Aptos" w:hAnsi="Times New Roman" w:cs="Times New Roman"/>
        </w:rPr>
      </w:pPr>
    </w:p>
    <w:p w14:paraId="7A9132EE" w14:textId="77777777" w:rsidR="00120D45" w:rsidRDefault="00120D45" w:rsidP="00EA6F3E">
      <w:pPr>
        <w:spacing w:after="0" w:line="360" w:lineRule="auto"/>
        <w:ind w:firstLine="708"/>
        <w:jc w:val="both"/>
        <w:rPr>
          <w:rFonts w:ascii="Times New Roman" w:eastAsia="Aptos" w:hAnsi="Times New Roman" w:cs="Times New Roman"/>
        </w:rPr>
      </w:pPr>
      <w:r w:rsidRPr="00120D45">
        <w:rPr>
          <w:rFonts w:ascii="Times New Roman" w:eastAsia="Aptos" w:hAnsi="Times New Roman" w:cs="Times New Roman"/>
        </w:rPr>
        <w:t>(1) Za sdílení elektřiny se považuje rovněž odběr elektřiny výrobcem elektřiny, provozovatelem zařízení pro ukládání elektřiny nebo zákazníkem v jiném předávacím místě.</w:t>
      </w:r>
    </w:p>
    <w:p w14:paraId="3081F61F" w14:textId="77777777" w:rsidR="008A568A" w:rsidRPr="00120D45" w:rsidRDefault="008A568A" w:rsidP="00EA6F3E">
      <w:pPr>
        <w:spacing w:after="0" w:line="360" w:lineRule="auto"/>
        <w:ind w:firstLine="708"/>
        <w:jc w:val="both"/>
        <w:rPr>
          <w:rFonts w:ascii="Times New Roman" w:eastAsia="Aptos" w:hAnsi="Times New Roman" w:cs="Times New Roman"/>
        </w:rPr>
      </w:pPr>
    </w:p>
    <w:p w14:paraId="2F5BC095" w14:textId="3F773ACD" w:rsidR="00120D45" w:rsidRDefault="00120D45" w:rsidP="00EA6F3E">
      <w:pPr>
        <w:spacing w:after="0" w:line="360" w:lineRule="auto"/>
        <w:ind w:firstLine="708"/>
        <w:jc w:val="both"/>
        <w:rPr>
          <w:rFonts w:ascii="Times New Roman" w:eastAsia="Aptos" w:hAnsi="Times New Roman" w:cs="Times New Roman"/>
        </w:rPr>
      </w:pPr>
      <w:r w:rsidRPr="00120D45">
        <w:rPr>
          <w:rFonts w:ascii="Times New Roman" w:eastAsia="Aptos" w:hAnsi="Times New Roman" w:cs="Times New Roman"/>
        </w:rPr>
        <w:t>(2) Pro sdílení elektřiny výrobcem elektřiny, provozovatelem zařízení pro ukládání elektřiny nebo zákazníkem v jiném předávacím místě a sdílení elektřiny zákazníkovi mimo</w:t>
      </w:r>
      <w:r w:rsidR="00E6738C">
        <w:rPr>
          <w:rFonts w:ascii="Times New Roman" w:eastAsia="Aptos" w:hAnsi="Times New Roman" w:cs="Times New Roman"/>
        </w:rPr>
        <w:t> </w:t>
      </w:r>
      <w:r w:rsidRPr="00120D45">
        <w:rPr>
          <w:rFonts w:ascii="Times New Roman" w:eastAsia="Aptos" w:hAnsi="Times New Roman" w:cs="Times New Roman"/>
        </w:rPr>
        <w:t>společenství se ustanovení § 27e odst. 1 až 3 a 5 použijí přiměřeně. Výrobce elektřiny, provozovatel zařízení pro ukládání elektřiny nebo zákazník, který registroval přiřazení předávacího místa výrobce elektřiny, provozovatele zařízení pro ukládání elektřiny nebo</w:t>
      </w:r>
      <w:r w:rsidR="00E6738C">
        <w:rPr>
          <w:rFonts w:ascii="Times New Roman" w:eastAsia="Aptos" w:hAnsi="Times New Roman" w:cs="Times New Roman"/>
        </w:rPr>
        <w:t> </w:t>
      </w:r>
      <w:r w:rsidRPr="00120D45">
        <w:rPr>
          <w:rFonts w:ascii="Times New Roman" w:eastAsia="Aptos" w:hAnsi="Times New Roman" w:cs="Times New Roman"/>
        </w:rPr>
        <w:t>zákazníka do skupiny sdílení, je povinen na žádost výrobce elektřiny, provozovatele zařízení pro ukládání elektřiny nebo zákazníka ukončit přiřazení předávacího místa.</w:t>
      </w:r>
    </w:p>
    <w:p w14:paraId="26481328" w14:textId="77777777" w:rsidR="008A568A" w:rsidRPr="00120D45" w:rsidRDefault="008A568A" w:rsidP="00EA6F3E">
      <w:pPr>
        <w:spacing w:after="0" w:line="360" w:lineRule="auto"/>
        <w:ind w:firstLine="708"/>
        <w:jc w:val="both"/>
        <w:rPr>
          <w:rFonts w:ascii="Times New Roman" w:eastAsia="Aptos" w:hAnsi="Times New Roman" w:cs="Times New Roman"/>
        </w:rPr>
      </w:pPr>
    </w:p>
    <w:p w14:paraId="6DF7F229" w14:textId="427C253A" w:rsidR="00120D45" w:rsidRDefault="00120D45" w:rsidP="00EA6F3E">
      <w:pPr>
        <w:spacing w:after="0" w:line="360" w:lineRule="auto"/>
        <w:ind w:firstLine="708"/>
        <w:jc w:val="both"/>
        <w:rPr>
          <w:rFonts w:ascii="Times New Roman" w:eastAsia="Aptos" w:hAnsi="Times New Roman" w:cs="Times New Roman"/>
        </w:rPr>
      </w:pPr>
      <w:r w:rsidRPr="00120D45">
        <w:rPr>
          <w:rFonts w:ascii="Times New Roman" w:eastAsia="Aptos" w:hAnsi="Times New Roman" w:cs="Times New Roman"/>
        </w:rPr>
        <w:t>(3) Předávací místa výrobce elektřiny, provozovatele zařízení pro ukládání elektřiny nebo zákazníka je možné přiřadit pouze do jedné skupiny sdílení bez ohledu na to, zda se jedná o přiřazení předávacího místa do skupiny sdílení mimo společenství nebo ve společenství. Nejedná-li se o předávací místa připojená k distribuční soustavě prostřednictvím jedné společné hlavní domovní pojistkové skříně nebo hlavní domovní kabelové skříně, může skupina sdílení zahrnovat nejvýše 11 registračních čísel předávacích míst</w:t>
      </w:r>
      <w:r w:rsidRPr="00FF4DD2">
        <w:rPr>
          <w:rFonts w:ascii="Times New Roman" w:eastAsia="Aptos" w:hAnsi="Times New Roman" w:cs="Times New Roman"/>
          <w:b/>
          <w:bCs/>
        </w:rPr>
        <w:t xml:space="preserve">, </w:t>
      </w:r>
      <w:r w:rsidRPr="00F7551A">
        <w:rPr>
          <w:rFonts w:ascii="Times New Roman" w:eastAsia="Aptos" w:hAnsi="Times New Roman" w:cs="Times New Roman"/>
          <w:b/>
          <w:bCs/>
        </w:rPr>
        <w:t>pokud není stanoveno jinak</w:t>
      </w:r>
      <w:r w:rsidRPr="00BE599A">
        <w:rPr>
          <w:rFonts w:ascii="Times New Roman" w:eastAsia="Aptos" w:hAnsi="Times New Roman" w:cs="Times New Roman"/>
        </w:rPr>
        <w:t>.</w:t>
      </w:r>
    </w:p>
    <w:p w14:paraId="5955B67A" w14:textId="77777777" w:rsidR="008A568A" w:rsidRPr="00120D45" w:rsidRDefault="008A568A" w:rsidP="00EA6F3E">
      <w:pPr>
        <w:spacing w:after="0" w:line="360" w:lineRule="auto"/>
        <w:ind w:firstLine="708"/>
        <w:jc w:val="both"/>
        <w:rPr>
          <w:rFonts w:ascii="Times New Roman" w:eastAsia="Aptos" w:hAnsi="Times New Roman" w:cs="Times New Roman"/>
        </w:rPr>
      </w:pPr>
    </w:p>
    <w:p w14:paraId="46CC07E5" w14:textId="4809AD99" w:rsidR="00271745" w:rsidRPr="00F7551A" w:rsidRDefault="0026529C" w:rsidP="00271745">
      <w:pPr>
        <w:spacing w:after="0" w:line="360" w:lineRule="auto"/>
        <w:ind w:firstLine="709"/>
        <w:jc w:val="both"/>
        <w:rPr>
          <w:rFonts w:ascii="Times New Roman" w:eastAsia="Aptos" w:hAnsi="Times New Roman" w:cs="Times New Roman"/>
          <w:b/>
          <w:bCs/>
        </w:rPr>
      </w:pPr>
      <w:r w:rsidRPr="00F7551A">
        <w:rPr>
          <w:rFonts w:ascii="Times New Roman" w:eastAsia="Aptos" w:hAnsi="Times New Roman" w:cs="Times New Roman"/>
          <w:b/>
          <w:bCs/>
        </w:rPr>
        <w:t>(4)</w:t>
      </w:r>
      <w:r w:rsidR="00271745" w:rsidRPr="00FF4DD2">
        <w:rPr>
          <w:rFonts w:ascii="Times New Roman" w:eastAsia="Aptos" w:hAnsi="Times New Roman" w:cs="Times New Roman"/>
          <w:b/>
          <w:bCs/>
        </w:rPr>
        <w:t xml:space="preserve"> </w:t>
      </w:r>
      <w:r w:rsidR="006009B7" w:rsidRPr="00F7551A">
        <w:rPr>
          <w:rFonts w:ascii="Times New Roman" w:hAnsi="Times New Roman" w:cs="Times New Roman"/>
          <w:b/>
          <w:bCs/>
        </w:rPr>
        <w:t>Nejedná-li se o předávací místa připojená k distribuční soustavě prostřednictvím jedné společné hlavní domovní pojistkové skříně nebo hlavní domovní kabelové skříně, může skupina sdílení zahrnovat nejvýše 60 registračních čísel předávacích míst v případě, že tvoří skupinu sdílení územní samosprávný celek, jím zřízená  příspěvková organizace nebo jím založená či zřízená jiná právnická osoba, pokud byla jím založená či zřízená jiná právnická osoba zřízena nebo založena za účelem uspokojování potřeb veřejného zájmu, které nemají průmyslovou nebo obchodní povahu, a územní samosprávný celek nebo jím zřízená  příspěvková organizace jím založenou či</w:t>
      </w:r>
      <w:r w:rsidR="00FF4DD2">
        <w:rPr>
          <w:rFonts w:ascii="Times New Roman" w:hAnsi="Times New Roman" w:cs="Times New Roman"/>
          <w:b/>
          <w:bCs/>
        </w:rPr>
        <w:t> </w:t>
      </w:r>
      <w:r w:rsidR="006009B7" w:rsidRPr="00F7551A">
        <w:rPr>
          <w:rFonts w:ascii="Times New Roman" w:hAnsi="Times New Roman" w:cs="Times New Roman"/>
          <w:b/>
          <w:bCs/>
        </w:rPr>
        <w:t xml:space="preserve">zřízenou jinou právnickou osobu převážně financuje, může v jím založené či zřízené </w:t>
      </w:r>
      <w:r w:rsidR="006009B7" w:rsidRPr="00F7551A">
        <w:rPr>
          <w:rFonts w:ascii="Times New Roman" w:hAnsi="Times New Roman" w:cs="Times New Roman"/>
          <w:b/>
          <w:bCs/>
        </w:rPr>
        <w:lastRenderedPageBreak/>
        <w:t>jiné právnické osobě uplatňovat rozhodující vliv nebo jmenuje nebo volí více než polovinu členů v jejím statutárním nebo kontrolním orgánu.</w:t>
      </w:r>
    </w:p>
    <w:p w14:paraId="058FD5C9" w14:textId="77777777" w:rsidR="005F12B8" w:rsidRDefault="005F12B8"/>
    <w:sectPr w:rsidR="005F12B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8710" w14:textId="77777777" w:rsidR="004C4DAA" w:rsidRDefault="004C4DAA" w:rsidP="004C4DAA">
      <w:pPr>
        <w:spacing w:after="0" w:line="240" w:lineRule="auto"/>
      </w:pPr>
      <w:r>
        <w:separator/>
      </w:r>
    </w:p>
  </w:endnote>
  <w:endnote w:type="continuationSeparator" w:id="0">
    <w:p w14:paraId="3214A3FF" w14:textId="77777777" w:rsidR="004C4DAA" w:rsidRDefault="004C4DAA" w:rsidP="004C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7CC8" w14:textId="77777777" w:rsidR="004C4DAA" w:rsidRDefault="004C4DAA" w:rsidP="004C4DAA">
      <w:pPr>
        <w:spacing w:after="0" w:line="240" w:lineRule="auto"/>
      </w:pPr>
      <w:r>
        <w:separator/>
      </w:r>
    </w:p>
  </w:footnote>
  <w:footnote w:type="continuationSeparator" w:id="0">
    <w:p w14:paraId="32D8C1D5" w14:textId="77777777" w:rsidR="004C4DAA" w:rsidRDefault="004C4DAA" w:rsidP="004C4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9FF4" w14:textId="33763F3F" w:rsidR="004C4DAA" w:rsidRPr="007F5DE4" w:rsidRDefault="004C4DAA" w:rsidP="009A7A13">
    <w:pPr>
      <w:pStyle w:val="Zhlav"/>
      <w:jc w:val="right"/>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45"/>
    <w:rsid w:val="000337F9"/>
    <w:rsid w:val="000641EA"/>
    <w:rsid w:val="000C3799"/>
    <w:rsid w:val="000F2E50"/>
    <w:rsid w:val="00120D45"/>
    <w:rsid w:val="001F723C"/>
    <w:rsid w:val="0026529C"/>
    <w:rsid w:val="00271745"/>
    <w:rsid w:val="003951F1"/>
    <w:rsid w:val="00405C8D"/>
    <w:rsid w:val="00422266"/>
    <w:rsid w:val="00434FEA"/>
    <w:rsid w:val="00460BBF"/>
    <w:rsid w:val="00481FFF"/>
    <w:rsid w:val="00496330"/>
    <w:rsid w:val="004C4DAA"/>
    <w:rsid w:val="005F12B8"/>
    <w:rsid w:val="006009B7"/>
    <w:rsid w:val="00662DBE"/>
    <w:rsid w:val="00693066"/>
    <w:rsid w:val="00725EE5"/>
    <w:rsid w:val="00731899"/>
    <w:rsid w:val="007C238C"/>
    <w:rsid w:val="007F5DE4"/>
    <w:rsid w:val="00815D70"/>
    <w:rsid w:val="00875BA8"/>
    <w:rsid w:val="00885304"/>
    <w:rsid w:val="008A568A"/>
    <w:rsid w:val="00902414"/>
    <w:rsid w:val="00905943"/>
    <w:rsid w:val="009478A7"/>
    <w:rsid w:val="0095486E"/>
    <w:rsid w:val="009A7A13"/>
    <w:rsid w:val="00B028B7"/>
    <w:rsid w:val="00BE599A"/>
    <w:rsid w:val="00C22D3F"/>
    <w:rsid w:val="00C253EB"/>
    <w:rsid w:val="00D0192A"/>
    <w:rsid w:val="00DC6A8C"/>
    <w:rsid w:val="00E17233"/>
    <w:rsid w:val="00E6738C"/>
    <w:rsid w:val="00E93F57"/>
    <w:rsid w:val="00EA6F3E"/>
    <w:rsid w:val="00ED7340"/>
    <w:rsid w:val="00F56C21"/>
    <w:rsid w:val="00F601FD"/>
    <w:rsid w:val="00F739F9"/>
    <w:rsid w:val="00F7551A"/>
    <w:rsid w:val="00F90DBD"/>
    <w:rsid w:val="00FC0001"/>
    <w:rsid w:val="00FC0C9F"/>
    <w:rsid w:val="00FC1CF5"/>
    <w:rsid w:val="00FF4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334BE3"/>
  <w15:chartTrackingRefBased/>
  <w15:docId w15:val="{4817606C-B5E6-4F46-AA31-35D8CF55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20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20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20D4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20D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20D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20D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0D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0D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0D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0D4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20D4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20D4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20D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20D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20D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0D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0D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0D45"/>
    <w:rPr>
      <w:rFonts w:eastAsiaTheme="majorEastAsia" w:cstheme="majorBidi"/>
      <w:color w:val="272727" w:themeColor="text1" w:themeTint="D8"/>
    </w:rPr>
  </w:style>
  <w:style w:type="paragraph" w:styleId="Nzev">
    <w:name w:val="Title"/>
    <w:basedOn w:val="Normln"/>
    <w:next w:val="Normln"/>
    <w:link w:val="NzevChar"/>
    <w:uiPriority w:val="10"/>
    <w:qFormat/>
    <w:rsid w:val="00120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0D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0D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0D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0D45"/>
    <w:pPr>
      <w:spacing w:before="160"/>
      <w:jc w:val="center"/>
    </w:pPr>
    <w:rPr>
      <w:i/>
      <w:iCs/>
      <w:color w:val="404040" w:themeColor="text1" w:themeTint="BF"/>
    </w:rPr>
  </w:style>
  <w:style w:type="character" w:customStyle="1" w:styleId="CittChar">
    <w:name w:val="Citát Char"/>
    <w:basedOn w:val="Standardnpsmoodstavce"/>
    <w:link w:val="Citt"/>
    <w:uiPriority w:val="29"/>
    <w:rsid w:val="00120D45"/>
    <w:rPr>
      <w:i/>
      <w:iCs/>
      <w:color w:val="404040" w:themeColor="text1" w:themeTint="BF"/>
    </w:rPr>
  </w:style>
  <w:style w:type="paragraph" w:styleId="Odstavecseseznamem">
    <w:name w:val="List Paragraph"/>
    <w:basedOn w:val="Normln"/>
    <w:uiPriority w:val="34"/>
    <w:qFormat/>
    <w:rsid w:val="00120D45"/>
    <w:pPr>
      <w:ind w:left="720"/>
      <w:contextualSpacing/>
    </w:pPr>
  </w:style>
  <w:style w:type="character" w:styleId="Zdraznnintenzivn">
    <w:name w:val="Intense Emphasis"/>
    <w:basedOn w:val="Standardnpsmoodstavce"/>
    <w:uiPriority w:val="21"/>
    <w:qFormat/>
    <w:rsid w:val="00120D45"/>
    <w:rPr>
      <w:i/>
      <w:iCs/>
      <w:color w:val="0F4761" w:themeColor="accent1" w:themeShade="BF"/>
    </w:rPr>
  </w:style>
  <w:style w:type="paragraph" w:styleId="Vrazncitt">
    <w:name w:val="Intense Quote"/>
    <w:basedOn w:val="Normln"/>
    <w:next w:val="Normln"/>
    <w:link w:val="VrazncittChar"/>
    <w:uiPriority w:val="30"/>
    <w:qFormat/>
    <w:rsid w:val="00120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20D45"/>
    <w:rPr>
      <w:i/>
      <w:iCs/>
      <w:color w:val="0F4761" w:themeColor="accent1" w:themeShade="BF"/>
    </w:rPr>
  </w:style>
  <w:style w:type="character" w:styleId="Odkazintenzivn">
    <w:name w:val="Intense Reference"/>
    <w:basedOn w:val="Standardnpsmoodstavce"/>
    <w:uiPriority w:val="32"/>
    <w:qFormat/>
    <w:rsid w:val="00120D45"/>
    <w:rPr>
      <w:b/>
      <w:bCs/>
      <w:smallCaps/>
      <w:color w:val="0F4761" w:themeColor="accent1" w:themeShade="BF"/>
      <w:spacing w:val="5"/>
    </w:rPr>
  </w:style>
  <w:style w:type="paragraph" w:styleId="Zhlav">
    <w:name w:val="header"/>
    <w:basedOn w:val="Normln"/>
    <w:link w:val="ZhlavChar"/>
    <w:uiPriority w:val="99"/>
    <w:unhideWhenUsed/>
    <w:rsid w:val="004C4D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DAA"/>
  </w:style>
  <w:style w:type="paragraph" w:styleId="Zpat">
    <w:name w:val="footer"/>
    <w:basedOn w:val="Normln"/>
    <w:link w:val="ZpatChar"/>
    <w:uiPriority w:val="99"/>
    <w:unhideWhenUsed/>
    <w:rsid w:val="004C4DAA"/>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DAA"/>
  </w:style>
  <w:style w:type="paragraph" w:styleId="Revize">
    <w:name w:val="Revision"/>
    <w:hidden/>
    <w:uiPriority w:val="99"/>
    <w:semiHidden/>
    <w:rsid w:val="00E6738C"/>
    <w:pPr>
      <w:spacing w:after="0" w:line="240" w:lineRule="auto"/>
    </w:pPr>
  </w:style>
  <w:style w:type="character" w:styleId="Odkaznakoment">
    <w:name w:val="annotation reference"/>
    <w:basedOn w:val="Standardnpsmoodstavce"/>
    <w:uiPriority w:val="99"/>
    <w:semiHidden/>
    <w:unhideWhenUsed/>
    <w:rsid w:val="00E6738C"/>
    <w:rPr>
      <w:sz w:val="16"/>
      <w:szCs w:val="16"/>
    </w:rPr>
  </w:style>
  <w:style w:type="paragraph" w:styleId="Textkomente">
    <w:name w:val="annotation text"/>
    <w:basedOn w:val="Normln"/>
    <w:link w:val="TextkomenteChar"/>
    <w:uiPriority w:val="99"/>
    <w:unhideWhenUsed/>
    <w:rsid w:val="00E6738C"/>
    <w:pPr>
      <w:spacing w:line="240" w:lineRule="auto"/>
    </w:pPr>
    <w:rPr>
      <w:sz w:val="20"/>
      <w:szCs w:val="20"/>
    </w:rPr>
  </w:style>
  <w:style w:type="character" w:customStyle="1" w:styleId="TextkomenteChar">
    <w:name w:val="Text komentáře Char"/>
    <w:basedOn w:val="Standardnpsmoodstavce"/>
    <w:link w:val="Textkomente"/>
    <w:uiPriority w:val="99"/>
    <w:rsid w:val="00E6738C"/>
    <w:rPr>
      <w:sz w:val="20"/>
      <w:szCs w:val="20"/>
    </w:rPr>
  </w:style>
  <w:style w:type="paragraph" w:styleId="Pedmtkomente">
    <w:name w:val="annotation subject"/>
    <w:basedOn w:val="Textkomente"/>
    <w:next w:val="Textkomente"/>
    <w:link w:val="PedmtkomenteChar"/>
    <w:uiPriority w:val="99"/>
    <w:semiHidden/>
    <w:unhideWhenUsed/>
    <w:rsid w:val="00E6738C"/>
    <w:rPr>
      <w:b/>
      <w:bCs/>
    </w:rPr>
  </w:style>
  <w:style w:type="character" w:customStyle="1" w:styleId="PedmtkomenteChar">
    <w:name w:val="Předmět komentáře Char"/>
    <w:basedOn w:val="TextkomenteChar"/>
    <w:link w:val="Pedmtkomente"/>
    <w:uiPriority w:val="99"/>
    <w:semiHidden/>
    <w:rsid w:val="00E673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2085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Radovan Kopřiva</dc:creator>
  <cp:keywords/>
  <dc:description/>
  <cp:lastModifiedBy>Provazník Tadeáš (MHMP, OMM)</cp:lastModifiedBy>
  <cp:revision>3</cp:revision>
  <dcterms:created xsi:type="dcterms:W3CDTF">2026-02-16T11:19:00Z</dcterms:created>
  <dcterms:modified xsi:type="dcterms:W3CDTF">2026-03-05T12:10:00Z</dcterms:modified>
</cp:coreProperties>
</file>