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B1F2D" w14:textId="77777777" w:rsidR="00C0088F" w:rsidRPr="004A1493" w:rsidRDefault="00C0088F" w:rsidP="00C0088F">
      <w:pPr>
        <w:pBdr>
          <w:top w:val="nil"/>
          <w:left w:val="nil"/>
          <w:bottom w:val="nil"/>
          <w:right w:val="nil"/>
          <w:between w:val="nil"/>
        </w:pBdr>
        <w:tabs>
          <w:tab w:val="left" w:pos="0"/>
        </w:tabs>
        <w:spacing w:before="120" w:after="120" w:line="276" w:lineRule="auto"/>
        <w:contextualSpacing/>
        <w:jc w:val="center"/>
        <w:rPr>
          <w:b/>
          <w:color w:val="000000"/>
          <w:sz w:val="28"/>
          <w:szCs w:val="28"/>
        </w:rPr>
      </w:pPr>
      <w:r w:rsidRPr="004A1493">
        <w:rPr>
          <w:b/>
          <w:color w:val="000000"/>
          <w:sz w:val="28"/>
          <w:szCs w:val="28"/>
        </w:rPr>
        <w:t>Veřejnoprávní smlouva o poskytnutí dotace</w:t>
      </w:r>
    </w:p>
    <w:p w14:paraId="6FF7CFDF" w14:textId="77777777" w:rsidR="00C0088F" w:rsidRPr="004A1493" w:rsidRDefault="00C0088F" w:rsidP="00C0088F">
      <w:pPr>
        <w:pBdr>
          <w:top w:val="nil"/>
          <w:left w:val="nil"/>
          <w:bottom w:val="nil"/>
          <w:right w:val="nil"/>
          <w:between w:val="nil"/>
        </w:pBdr>
        <w:tabs>
          <w:tab w:val="left" w:pos="0"/>
        </w:tabs>
        <w:spacing w:before="120" w:after="120" w:line="276" w:lineRule="auto"/>
        <w:contextualSpacing/>
        <w:jc w:val="center"/>
        <w:rPr>
          <w:b/>
          <w:color w:val="000000"/>
          <w:sz w:val="28"/>
          <w:szCs w:val="28"/>
        </w:rPr>
      </w:pPr>
      <w:r w:rsidRPr="004A1493">
        <w:rPr>
          <w:b/>
          <w:color w:val="000000"/>
          <w:sz w:val="22"/>
          <w:szCs w:val="22"/>
        </w:rPr>
        <w:t xml:space="preserve"> </w:t>
      </w:r>
      <w:r w:rsidRPr="004A1493">
        <w:rPr>
          <w:b/>
          <w:color w:val="000000"/>
          <w:sz w:val="28"/>
          <w:szCs w:val="28"/>
        </w:rPr>
        <w:t xml:space="preserve">pro </w:t>
      </w:r>
      <w:r w:rsidRPr="004A1493">
        <w:rPr>
          <w:b/>
          <w:color w:val="000000" w:themeColor="text1"/>
          <w:sz w:val="28"/>
          <w:szCs w:val="28"/>
        </w:rPr>
        <w:t xml:space="preserve">Akcelerační program </w:t>
      </w:r>
      <w:r w:rsidRPr="004A1493">
        <w:rPr>
          <w:b/>
          <w:sz w:val="28"/>
          <w:szCs w:val="28"/>
        </w:rPr>
        <w:t>pro oblast herního vývoje</w:t>
      </w:r>
      <w:r w:rsidRPr="004A1493">
        <w:rPr>
          <w:b/>
          <w:color w:val="000000" w:themeColor="text1"/>
          <w:sz w:val="28"/>
          <w:szCs w:val="28"/>
        </w:rPr>
        <w:t xml:space="preserve"> </w:t>
      </w:r>
    </w:p>
    <w:p w14:paraId="10EE85A4" w14:textId="77777777" w:rsidR="00C0088F" w:rsidRPr="004A1493" w:rsidRDefault="00C0088F" w:rsidP="00C0088F">
      <w:pPr>
        <w:spacing w:after="120" w:line="276" w:lineRule="auto"/>
        <w:ind w:left="357"/>
        <w:contextualSpacing/>
        <w:jc w:val="center"/>
        <w:rPr>
          <w:b/>
          <w:sz w:val="28"/>
          <w:szCs w:val="28"/>
        </w:rPr>
      </w:pPr>
      <w:r w:rsidRPr="004A1493">
        <w:rPr>
          <w:b/>
          <w:sz w:val="28"/>
          <w:szCs w:val="28"/>
        </w:rPr>
        <w:t>pro rok 2025</w:t>
      </w:r>
    </w:p>
    <w:p w14:paraId="2989A026" w14:textId="77777777" w:rsidR="00C0088F" w:rsidRPr="004A1493" w:rsidRDefault="00C0088F" w:rsidP="00C0088F">
      <w:pPr>
        <w:tabs>
          <w:tab w:val="left" w:pos="0"/>
        </w:tabs>
        <w:spacing w:before="120" w:line="276" w:lineRule="auto"/>
        <w:jc w:val="center"/>
        <w:rPr>
          <w:b/>
        </w:rPr>
      </w:pPr>
      <w:r w:rsidRPr="004A1493">
        <w:rPr>
          <w:b/>
          <w:bCs/>
          <w:highlight w:val="yellow"/>
        </w:rPr>
        <w:t>č. DOT/…/…/</w:t>
      </w:r>
      <w:proofErr w:type="gramStart"/>
      <w:r w:rsidRPr="004A1493">
        <w:rPr>
          <w:b/>
          <w:bCs/>
          <w:highlight w:val="yellow"/>
        </w:rPr>
        <w:t>…….</w:t>
      </w:r>
      <w:proofErr w:type="gramEnd"/>
      <w:r w:rsidRPr="004A1493">
        <w:rPr>
          <w:b/>
          <w:bCs/>
          <w:highlight w:val="yellow"/>
        </w:rPr>
        <w:t>./2025</w:t>
      </w:r>
      <w:r w:rsidRPr="004A1493">
        <w:rPr>
          <w:b/>
        </w:rPr>
        <w:t> </w:t>
      </w:r>
    </w:p>
    <w:p w14:paraId="1FD194CB" w14:textId="77777777" w:rsidR="00C0088F" w:rsidRPr="004A1493" w:rsidRDefault="00C0088F" w:rsidP="00C0088F">
      <w:pPr>
        <w:tabs>
          <w:tab w:val="left" w:pos="0"/>
        </w:tabs>
        <w:spacing w:before="120"/>
        <w:jc w:val="both"/>
        <w:rPr>
          <w:bCs/>
          <w:sz w:val="22"/>
          <w:szCs w:val="22"/>
        </w:rPr>
      </w:pPr>
    </w:p>
    <w:p w14:paraId="4645F20F" w14:textId="77777777" w:rsidR="00C0088F" w:rsidRPr="004A1493" w:rsidRDefault="00C0088F" w:rsidP="00C0088F">
      <w:pPr>
        <w:tabs>
          <w:tab w:val="left" w:pos="0"/>
        </w:tabs>
        <w:spacing w:before="120"/>
        <w:jc w:val="both"/>
        <w:rPr>
          <w:bCs/>
          <w:sz w:val="22"/>
          <w:szCs w:val="22"/>
        </w:rPr>
      </w:pPr>
      <w:r w:rsidRPr="004A1493">
        <w:rPr>
          <w:bCs/>
          <w:sz w:val="22"/>
          <w:szCs w:val="22"/>
        </w:rPr>
        <w:t>uzavřená níže uvedeného dne, měsíce a roku podle zákona č. 250/2000 Sb., o rozpočtových pravidlech územních rozpočtů, ve znění pozdějších předpisů (dále jen „Zákon o rozpočtových pravidlech“), zákona č. 89/2012 Sb., občanský zákoník, ve znění pozdějších předpisů (dále jen „Občanský zákoník“) a zákona č. 500/2004 Sb., správní řád, ve znění pozdějších předpisů (dále jen „Správní řád“) mezi těmito smluvními stranami:</w:t>
      </w:r>
    </w:p>
    <w:p w14:paraId="0463F9C7" w14:textId="77777777" w:rsidR="00C0088F" w:rsidRPr="004A1493" w:rsidRDefault="00C0088F" w:rsidP="00C0088F">
      <w:pPr>
        <w:spacing w:before="120"/>
        <w:jc w:val="both"/>
        <w:rPr>
          <w:b/>
          <w:color w:val="000000"/>
          <w:sz w:val="22"/>
          <w:szCs w:val="22"/>
        </w:rPr>
      </w:pPr>
      <w:r w:rsidRPr="004A1493">
        <w:rPr>
          <w:b/>
          <w:color w:val="000000"/>
          <w:sz w:val="22"/>
          <w:szCs w:val="22"/>
        </w:rPr>
        <w:t>Hlavní město Praha</w:t>
      </w:r>
    </w:p>
    <w:p w14:paraId="0A71EFFC" w14:textId="77777777" w:rsidR="00C0088F" w:rsidRPr="004A1493" w:rsidRDefault="00C0088F" w:rsidP="00C0088F">
      <w:pPr>
        <w:jc w:val="both"/>
        <w:rPr>
          <w:sz w:val="22"/>
          <w:szCs w:val="22"/>
        </w:rPr>
      </w:pPr>
      <w:r w:rsidRPr="004A1493">
        <w:rPr>
          <w:color w:val="000000"/>
          <w:sz w:val="22"/>
          <w:szCs w:val="22"/>
        </w:rPr>
        <w:t>se sídlem:</w:t>
      </w:r>
      <w:r w:rsidRPr="004A1493">
        <w:rPr>
          <w:color w:val="000000"/>
          <w:sz w:val="22"/>
          <w:szCs w:val="22"/>
        </w:rPr>
        <w:tab/>
      </w:r>
      <w:r w:rsidRPr="004A1493">
        <w:rPr>
          <w:color w:val="000000"/>
          <w:sz w:val="22"/>
          <w:szCs w:val="22"/>
        </w:rPr>
        <w:tab/>
        <w:t>Mariánské náměstí 2/2, 110 00 Praha 1</w:t>
      </w:r>
    </w:p>
    <w:p w14:paraId="50103BDC" w14:textId="77777777" w:rsidR="00C0088F" w:rsidRPr="004A1493" w:rsidRDefault="00C0088F" w:rsidP="00C0088F">
      <w:pPr>
        <w:ind w:left="2160" w:hanging="2160"/>
        <w:jc w:val="both"/>
        <w:rPr>
          <w:sz w:val="22"/>
          <w:szCs w:val="22"/>
        </w:rPr>
      </w:pPr>
      <w:r w:rsidRPr="004A1493">
        <w:rPr>
          <w:color w:val="000000" w:themeColor="text1"/>
          <w:sz w:val="22"/>
          <w:szCs w:val="22"/>
        </w:rPr>
        <w:t>zastoupen:</w:t>
      </w:r>
      <w:r w:rsidRPr="004A1493">
        <w:rPr>
          <w:sz w:val="22"/>
          <w:szCs w:val="22"/>
        </w:rPr>
        <w:tab/>
      </w:r>
      <w:r w:rsidRPr="004A1493">
        <w:rPr>
          <w:color w:val="000000" w:themeColor="text1"/>
          <w:sz w:val="22"/>
          <w:szCs w:val="22"/>
        </w:rPr>
        <w:t xml:space="preserve">RNDr. Daniel Mazur, PhD., radní pro oblast ICT, Smart City, vědy, výzkumu a inovací </w:t>
      </w:r>
    </w:p>
    <w:p w14:paraId="19D5524C" w14:textId="77777777" w:rsidR="00C0088F" w:rsidRPr="004A1493" w:rsidRDefault="00C0088F" w:rsidP="00C0088F">
      <w:pPr>
        <w:jc w:val="both"/>
        <w:rPr>
          <w:sz w:val="22"/>
          <w:szCs w:val="22"/>
        </w:rPr>
      </w:pPr>
      <w:r w:rsidRPr="004A1493">
        <w:rPr>
          <w:color w:val="000000"/>
          <w:sz w:val="22"/>
          <w:szCs w:val="22"/>
        </w:rPr>
        <w:t>IČO:</w:t>
      </w:r>
      <w:r w:rsidRPr="004A1493">
        <w:rPr>
          <w:color w:val="000000"/>
          <w:sz w:val="22"/>
          <w:szCs w:val="22"/>
        </w:rPr>
        <w:tab/>
      </w:r>
      <w:r w:rsidRPr="004A1493">
        <w:rPr>
          <w:color w:val="000000"/>
          <w:sz w:val="22"/>
          <w:szCs w:val="22"/>
        </w:rPr>
        <w:tab/>
        <w:t xml:space="preserve">             0064581</w:t>
      </w:r>
    </w:p>
    <w:p w14:paraId="27C2EC40" w14:textId="77777777" w:rsidR="00C0088F" w:rsidRPr="004A1493" w:rsidRDefault="00C0088F" w:rsidP="00C0088F">
      <w:pPr>
        <w:jc w:val="both"/>
        <w:rPr>
          <w:sz w:val="22"/>
          <w:szCs w:val="22"/>
        </w:rPr>
      </w:pPr>
      <w:r w:rsidRPr="004A1493">
        <w:rPr>
          <w:color w:val="000000"/>
          <w:sz w:val="22"/>
          <w:szCs w:val="22"/>
        </w:rPr>
        <w:t>DIČ:</w:t>
      </w:r>
      <w:r w:rsidRPr="004A1493">
        <w:rPr>
          <w:color w:val="000000"/>
          <w:sz w:val="22"/>
          <w:szCs w:val="22"/>
        </w:rPr>
        <w:tab/>
      </w:r>
      <w:r w:rsidRPr="004A1493">
        <w:rPr>
          <w:color w:val="000000"/>
          <w:sz w:val="22"/>
          <w:szCs w:val="22"/>
        </w:rPr>
        <w:tab/>
        <w:t xml:space="preserve">             CZ00064581</w:t>
      </w:r>
      <w:r w:rsidRPr="004A1493">
        <w:rPr>
          <w:color w:val="000000"/>
          <w:sz w:val="22"/>
          <w:szCs w:val="22"/>
        </w:rPr>
        <w:tab/>
        <w:t> </w:t>
      </w:r>
    </w:p>
    <w:p w14:paraId="7BEE2764" w14:textId="77777777" w:rsidR="00C0088F" w:rsidRPr="004A1493" w:rsidRDefault="00C0088F" w:rsidP="00C0088F">
      <w:pPr>
        <w:jc w:val="both"/>
        <w:rPr>
          <w:color w:val="000000"/>
          <w:sz w:val="22"/>
          <w:szCs w:val="22"/>
        </w:rPr>
      </w:pPr>
      <w:r w:rsidRPr="004A1493">
        <w:rPr>
          <w:color w:val="000000"/>
          <w:sz w:val="22"/>
          <w:szCs w:val="22"/>
        </w:rPr>
        <w:t xml:space="preserve">bankovní </w:t>
      </w:r>
      <w:proofErr w:type="gramStart"/>
      <w:r w:rsidRPr="004A1493">
        <w:rPr>
          <w:color w:val="000000"/>
          <w:sz w:val="22"/>
          <w:szCs w:val="22"/>
        </w:rPr>
        <w:t xml:space="preserve">spojení:   </w:t>
      </w:r>
      <w:proofErr w:type="gramEnd"/>
      <w:r w:rsidRPr="004A1493">
        <w:rPr>
          <w:color w:val="000000"/>
          <w:sz w:val="22"/>
          <w:szCs w:val="22"/>
        </w:rPr>
        <w:t xml:space="preserve">        PPF banka, a.s., se sídlem Praha 6, Evropská 2690/17, PSČ 160 41</w:t>
      </w:r>
    </w:p>
    <w:p w14:paraId="7A6A26DA" w14:textId="77777777" w:rsidR="00C0088F" w:rsidRPr="004A1493" w:rsidRDefault="00C0088F" w:rsidP="00C0088F">
      <w:pPr>
        <w:jc w:val="both"/>
        <w:rPr>
          <w:sz w:val="22"/>
          <w:szCs w:val="22"/>
        </w:rPr>
      </w:pPr>
      <w:r w:rsidRPr="004A1493">
        <w:rPr>
          <w:color w:val="000000" w:themeColor="text1"/>
          <w:sz w:val="22"/>
          <w:szCs w:val="22"/>
        </w:rPr>
        <w:t xml:space="preserve">číslo </w:t>
      </w:r>
      <w:proofErr w:type="gramStart"/>
      <w:r w:rsidRPr="004A1493">
        <w:rPr>
          <w:color w:val="000000" w:themeColor="text1"/>
          <w:sz w:val="22"/>
          <w:szCs w:val="22"/>
        </w:rPr>
        <w:t xml:space="preserve">účtu:   </w:t>
      </w:r>
      <w:proofErr w:type="gramEnd"/>
      <w:r w:rsidRPr="004A1493">
        <w:rPr>
          <w:color w:val="000000" w:themeColor="text1"/>
          <w:sz w:val="22"/>
          <w:szCs w:val="22"/>
        </w:rPr>
        <w:t xml:space="preserve">                   </w:t>
      </w:r>
      <w:r w:rsidRPr="004A1493">
        <w:rPr>
          <w:sz w:val="22"/>
          <w:szCs w:val="22"/>
        </w:rPr>
        <w:t>110007-5157998/6000</w:t>
      </w:r>
    </w:p>
    <w:p w14:paraId="55617F64" w14:textId="77777777" w:rsidR="00C0088F" w:rsidRPr="004A1493" w:rsidRDefault="00C0088F" w:rsidP="00C0088F">
      <w:pPr>
        <w:jc w:val="both"/>
        <w:rPr>
          <w:sz w:val="22"/>
          <w:szCs w:val="22"/>
        </w:rPr>
      </w:pPr>
    </w:p>
    <w:p w14:paraId="18610575" w14:textId="77777777" w:rsidR="00C0088F" w:rsidRPr="004A1493" w:rsidRDefault="00C0088F" w:rsidP="00C0088F">
      <w:pPr>
        <w:spacing w:before="120"/>
        <w:jc w:val="both"/>
        <w:rPr>
          <w:sz w:val="22"/>
          <w:szCs w:val="22"/>
        </w:rPr>
      </w:pPr>
      <w:r w:rsidRPr="004A1493">
        <w:rPr>
          <w:color w:val="000000"/>
          <w:sz w:val="22"/>
          <w:szCs w:val="22"/>
        </w:rPr>
        <w:t>(dále jen „</w:t>
      </w:r>
      <w:r w:rsidRPr="004A1493">
        <w:rPr>
          <w:bCs/>
          <w:color w:val="000000"/>
          <w:sz w:val="22"/>
          <w:szCs w:val="22"/>
        </w:rPr>
        <w:t>Poskytovatel</w:t>
      </w:r>
      <w:r w:rsidRPr="004A1493">
        <w:rPr>
          <w:color w:val="000000"/>
          <w:sz w:val="22"/>
          <w:szCs w:val="22"/>
        </w:rPr>
        <w:t>“ nebo „HMP“)</w:t>
      </w:r>
    </w:p>
    <w:p w14:paraId="5D1B2315" w14:textId="77777777" w:rsidR="00C0088F" w:rsidRPr="004A1493" w:rsidRDefault="00C0088F" w:rsidP="00C0088F">
      <w:pPr>
        <w:spacing w:before="120"/>
        <w:ind w:firstLine="357"/>
        <w:jc w:val="both"/>
        <w:rPr>
          <w:sz w:val="22"/>
          <w:szCs w:val="22"/>
        </w:rPr>
      </w:pPr>
      <w:r w:rsidRPr="004A1493">
        <w:rPr>
          <w:color w:val="000000"/>
          <w:sz w:val="22"/>
          <w:szCs w:val="22"/>
        </w:rPr>
        <w:t>a</w:t>
      </w:r>
    </w:p>
    <w:p w14:paraId="751DC4B4" w14:textId="77777777" w:rsidR="00C0088F" w:rsidRPr="004A1493" w:rsidRDefault="00C0088F" w:rsidP="00C0088F">
      <w:pPr>
        <w:spacing w:before="120"/>
        <w:jc w:val="both"/>
        <w:rPr>
          <w:b/>
          <w:color w:val="000000"/>
          <w:sz w:val="22"/>
          <w:szCs w:val="22"/>
        </w:rPr>
      </w:pPr>
      <w:r w:rsidRPr="004A1493">
        <w:rPr>
          <w:b/>
          <w:color w:val="000000"/>
          <w:sz w:val="22"/>
          <w:szCs w:val="22"/>
        </w:rPr>
        <w:t>Příjemce</w:t>
      </w:r>
    </w:p>
    <w:p w14:paraId="121012B2" w14:textId="77777777" w:rsidR="00C0088F" w:rsidRPr="004A1493" w:rsidRDefault="00C0088F" w:rsidP="00C0088F">
      <w:pPr>
        <w:jc w:val="both"/>
        <w:rPr>
          <w:sz w:val="22"/>
          <w:szCs w:val="22"/>
        </w:rPr>
      </w:pPr>
      <w:r w:rsidRPr="004A1493">
        <w:rPr>
          <w:color w:val="000000"/>
          <w:sz w:val="22"/>
          <w:szCs w:val="22"/>
        </w:rPr>
        <w:t xml:space="preserve">jméno a </w:t>
      </w:r>
      <w:proofErr w:type="gramStart"/>
      <w:r w:rsidRPr="004A1493">
        <w:rPr>
          <w:color w:val="000000"/>
          <w:sz w:val="22"/>
          <w:szCs w:val="22"/>
        </w:rPr>
        <w:t xml:space="preserve">příjmení:   </w:t>
      </w:r>
      <w:proofErr w:type="gramEnd"/>
      <w:r w:rsidRPr="004A1493">
        <w:rPr>
          <w:color w:val="000000"/>
          <w:sz w:val="22"/>
          <w:szCs w:val="22"/>
        </w:rPr>
        <w:t xml:space="preserve">        </w:t>
      </w:r>
      <w:r w:rsidRPr="004A1493">
        <w:rPr>
          <w:color w:val="000000"/>
          <w:sz w:val="22"/>
          <w:szCs w:val="22"/>
          <w:highlight w:val="yellow"/>
        </w:rPr>
        <w:t>……………………………………………..</w:t>
      </w:r>
      <w:r w:rsidRPr="004A1493">
        <w:rPr>
          <w:color w:val="000000"/>
          <w:sz w:val="22"/>
          <w:szCs w:val="22"/>
        </w:rPr>
        <w:tab/>
      </w:r>
      <w:r w:rsidRPr="004A1493">
        <w:rPr>
          <w:color w:val="000000"/>
          <w:sz w:val="22"/>
          <w:szCs w:val="22"/>
        </w:rPr>
        <w:tab/>
      </w:r>
    </w:p>
    <w:p w14:paraId="0DAA0052" w14:textId="77777777" w:rsidR="00C0088F" w:rsidRPr="004A1493" w:rsidRDefault="00C0088F" w:rsidP="00C0088F">
      <w:pPr>
        <w:jc w:val="both"/>
        <w:rPr>
          <w:sz w:val="22"/>
          <w:szCs w:val="22"/>
        </w:rPr>
      </w:pPr>
      <w:r w:rsidRPr="004A1493">
        <w:rPr>
          <w:color w:val="000000"/>
          <w:sz w:val="22"/>
          <w:szCs w:val="22"/>
        </w:rPr>
        <w:t>bytem:</w:t>
      </w:r>
      <w:r w:rsidRPr="004A1493">
        <w:rPr>
          <w:color w:val="000000"/>
          <w:sz w:val="22"/>
          <w:szCs w:val="22"/>
        </w:rPr>
        <w:tab/>
        <w:t xml:space="preserve">                           </w:t>
      </w:r>
      <w:r w:rsidRPr="004A1493">
        <w:rPr>
          <w:color w:val="000000"/>
          <w:sz w:val="22"/>
          <w:szCs w:val="22"/>
          <w:highlight w:val="yellow"/>
        </w:rPr>
        <w:t>………………………………………</w:t>
      </w:r>
      <w:proofErr w:type="gramStart"/>
      <w:r w:rsidRPr="004A1493">
        <w:rPr>
          <w:color w:val="000000"/>
          <w:sz w:val="22"/>
          <w:szCs w:val="22"/>
          <w:highlight w:val="yellow"/>
        </w:rPr>
        <w:t>…….</w:t>
      </w:r>
      <w:proofErr w:type="gramEnd"/>
      <w:r w:rsidRPr="004A1493">
        <w:rPr>
          <w:color w:val="000000"/>
          <w:sz w:val="22"/>
          <w:szCs w:val="22"/>
          <w:highlight w:val="yellow"/>
        </w:rPr>
        <w:t>.</w:t>
      </w:r>
      <w:r w:rsidRPr="004A1493">
        <w:rPr>
          <w:color w:val="000000"/>
          <w:sz w:val="22"/>
          <w:szCs w:val="22"/>
        </w:rPr>
        <w:tab/>
      </w:r>
    </w:p>
    <w:p w14:paraId="4DDB1278" w14:textId="77777777" w:rsidR="00C0088F" w:rsidRPr="004A1493" w:rsidRDefault="00C0088F" w:rsidP="00C0088F">
      <w:pPr>
        <w:jc w:val="both"/>
        <w:rPr>
          <w:sz w:val="22"/>
          <w:szCs w:val="22"/>
        </w:rPr>
      </w:pPr>
      <w:r w:rsidRPr="004A1493">
        <w:rPr>
          <w:color w:val="000000"/>
          <w:sz w:val="22"/>
          <w:szCs w:val="22"/>
        </w:rPr>
        <w:t>datum narození:</w:t>
      </w:r>
      <w:r w:rsidRPr="004A1493">
        <w:rPr>
          <w:color w:val="000000"/>
          <w:sz w:val="22"/>
          <w:szCs w:val="22"/>
        </w:rPr>
        <w:tab/>
        <w:t xml:space="preserve"> </w:t>
      </w:r>
      <w:r w:rsidRPr="004A1493">
        <w:rPr>
          <w:color w:val="000000"/>
          <w:sz w:val="22"/>
          <w:szCs w:val="22"/>
          <w:highlight w:val="yellow"/>
        </w:rPr>
        <w:t>………………………………………</w:t>
      </w:r>
      <w:proofErr w:type="gramStart"/>
      <w:r w:rsidRPr="004A1493">
        <w:rPr>
          <w:color w:val="000000"/>
          <w:sz w:val="22"/>
          <w:szCs w:val="22"/>
          <w:highlight w:val="yellow"/>
        </w:rPr>
        <w:t>…….</w:t>
      </w:r>
      <w:proofErr w:type="gramEnd"/>
      <w:r w:rsidRPr="004A1493">
        <w:rPr>
          <w:color w:val="000000"/>
          <w:sz w:val="22"/>
          <w:szCs w:val="22"/>
          <w:highlight w:val="yellow"/>
        </w:rPr>
        <w:t>.</w:t>
      </w:r>
      <w:r w:rsidRPr="004A1493">
        <w:rPr>
          <w:color w:val="000000"/>
          <w:sz w:val="22"/>
          <w:szCs w:val="22"/>
        </w:rPr>
        <w:tab/>
      </w:r>
      <w:r w:rsidRPr="004A1493">
        <w:rPr>
          <w:color w:val="000000"/>
          <w:sz w:val="22"/>
          <w:szCs w:val="22"/>
        </w:rPr>
        <w:tab/>
      </w:r>
      <w:r w:rsidRPr="004A1493">
        <w:rPr>
          <w:i/>
          <w:color w:val="000000"/>
          <w:sz w:val="22"/>
          <w:szCs w:val="22"/>
        </w:rPr>
        <w:t> </w:t>
      </w:r>
    </w:p>
    <w:p w14:paraId="686066C6" w14:textId="77777777" w:rsidR="00C0088F" w:rsidRPr="004A1493" w:rsidRDefault="00C0088F" w:rsidP="00C0088F">
      <w:pPr>
        <w:jc w:val="both"/>
        <w:rPr>
          <w:color w:val="000000"/>
          <w:sz w:val="22"/>
          <w:szCs w:val="22"/>
        </w:rPr>
      </w:pPr>
      <w:r w:rsidRPr="004A1493">
        <w:rPr>
          <w:color w:val="000000"/>
          <w:sz w:val="22"/>
          <w:szCs w:val="22"/>
        </w:rPr>
        <w:t xml:space="preserve">bankovní </w:t>
      </w:r>
      <w:proofErr w:type="gramStart"/>
      <w:r w:rsidRPr="004A1493">
        <w:rPr>
          <w:color w:val="000000"/>
          <w:sz w:val="22"/>
          <w:szCs w:val="22"/>
        </w:rPr>
        <w:t xml:space="preserve">spojení:   </w:t>
      </w:r>
      <w:proofErr w:type="gramEnd"/>
      <w:r w:rsidRPr="004A1493">
        <w:rPr>
          <w:color w:val="000000"/>
          <w:sz w:val="22"/>
          <w:szCs w:val="22"/>
        </w:rPr>
        <w:t xml:space="preserve">        </w:t>
      </w:r>
      <w:r w:rsidRPr="004A1493">
        <w:rPr>
          <w:color w:val="000000"/>
          <w:sz w:val="22"/>
          <w:szCs w:val="22"/>
          <w:highlight w:val="yellow"/>
        </w:rPr>
        <w:t>……………………………………………..</w:t>
      </w:r>
    </w:p>
    <w:p w14:paraId="5553AA52" w14:textId="77777777" w:rsidR="00C0088F" w:rsidRPr="004A1493" w:rsidRDefault="00C0088F" w:rsidP="00C0088F">
      <w:pPr>
        <w:jc w:val="both"/>
        <w:rPr>
          <w:sz w:val="22"/>
          <w:szCs w:val="22"/>
        </w:rPr>
      </w:pPr>
      <w:r w:rsidRPr="004A1493">
        <w:rPr>
          <w:color w:val="000000"/>
          <w:sz w:val="22"/>
          <w:szCs w:val="22"/>
        </w:rPr>
        <w:t xml:space="preserve">číslo </w:t>
      </w:r>
      <w:proofErr w:type="gramStart"/>
      <w:r w:rsidRPr="004A1493">
        <w:rPr>
          <w:color w:val="000000"/>
          <w:sz w:val="22"/>
          <w:szCs w:val="22"/>
        </w:rPr>
        <w:t xml:space="preserve">účtu:   </w:t>
      </w:r>
      <w:proofErr w:type="gramEnd"/>
      <w:r w:rsidRPr="004A1493">
        <w:rPr>
          <w:color w:val="000000"/>
          <w:sz w:val="22"/>
          <w:szCs w:val="22"/>
        </w:rPr>
        <w:t xml:space="preserve">                    </w:t>
      </w:r>
      <w:r w:rsidRPr="004A1493">
        <w:rPr>
          <w:color w:val="000000"/>
          <w:sz w:val="22"/>
          <w:szCs w:val="22"/>
          <w:highlight w:val="yellow"/>
        </w:rPr>
        <w:t>……………………………………………..</w:t>
      </w:r>
    </w:p>
    <w:p w14:paraId="05B9F751" w14:textId="77777777" w:rsidR="00C0088F" w:rsidRPr="004A1493" w:rsidRDefault="00C0088F" w:rsidP="00C0088F">
      <w:pPr>
        <w:spacing w:before="120"/>
        <w:jc w:val="both"/>
        <w:rPr>
          <w:color w:val="000000"/>
          <w:sz w:val="22"/>
          <w:szCs w:val="22"/>
        </w:rPr>
      </w:pPr>
      <w:r w:rsidRPr="004A1493">
        <w:rPr>
          <w:color w:val="000000"/>
          <w:sz w:val="22"/>
          <w:szCs w:val="22"/>
        </w:rPr>
        <w:t>(dále jen „</w:t>
      </w:r>
      <w:r w:rsidRPr="004A1493">
        <w:rPr>
          <w:bCs/>
          <w:color w:val="000000"/>
          <w:sz w:val="22"/>
          <w:szCs w:val="22"/>
        </w:rPr>
        <w:t>Příjemce</w:t>
      </w:r>
      <w:r w:rsidRPr="004A1493">
        <w:rPr>
          <w:color w:val="000000"/>
          <w:sz w:val="22"/>
          <w:szCs w:val="22"/>
        </w:rPr>
        <w:t>“)</w:t>
      </w:r>
    </w:p>
    <w:p w14:paraId="4A5184A4" w14:textId="77777777" w:rsidR="00C0088F" w:rsidRPr="004A1493" w:rsidRDefault="00C0088F" w:rsidP="00C0088F">
      <w:pPr>
        <w:spacing w:before="120"/>
        <w:jc w:val="both"/>
        <w:rPr>
          <w:color w:val="000000"/>
          <w:sz w:val="22"/>
          <w:szCs w:val="22"/>
        </w:rPr>
      </w:pPr>
      <w:r w:rsidRPr="004A1493">
        <w:rPr>
          <w:color w:val="000000"/>
          <w:sz w:val="22"/>
          <w:szCs w:val="22"/>
        </w:rPr>
        <w:t>(společně též jako „Smluvní strany“) </w:t>
      </w:r>
    </w:p>
    <w:p w14:paraId="345A537B" w14:textId="77777777" w:rsidR="00C0088F" w:rsidRPr="004A1493" w:rsidRDefault="00C0088F" w:rsidP="00C0088F">
      <w:pPr>
        <w:spacing w:before="120"/>
        <w:jc w:val="both"/>
        <w:rPr>
          <w:color w:val="000000"/>
          <w:sz w:val="22"/>
          <w:szCs w:val="22"/>
        </w:rPr>
      </w:pPr>
      <w:r w:rsidRPr="004A1493">
        <w:rPr>
          <w:color w:val="000000"/>
          <w:sz w:val="22"/>
          <w:szCs w:val="22"/>
        </w:rPr>
        <w:t> </w:t>
      </w:r>
    </w:p>
    <w:p w14:paraId="08416F9A" w14:textId="77777777" w:rsidR="00C0088F" w:rsidRPr="004A1493" w:rsidRDefault="00C0088F" w:rsidP="00C0088F">
      <w:pPr>
        <w:spacing w:before="120"/>
        <w:jc w:val="both"/>
        <w:rPr>
          <w:color w:val="000000"/>
          <w:sz w:val="22"/>
          <w:szCs w:val="22"/>
        </w:rPr>
      </w:pPr>
      <w:r w:rsidRPr="004A1493">
        <w:rPr>
          <w:color w:val="000000"/>
          <w:sz w:val="22"/>
          <w:szCs w:val="22"/>
        </w:rPr>
        <w:t>Smluvní strany uzavírají tuto smlouvu o poskytnutí účelové neinvestiční dotace (dále jen „Smlouva“). </w:t>
      </w:r>
    </w:p>
    <w:p w14:paraId="51631939" w14:textId="77777777" w:rsidR="00C0088F" w:rsidRPr="004A1493" w:rsidRDefault="00C0088F" w:rsidP="00C0088F">
      <w:pPr>
        <w:spacing w:before="120"/>
        <w:jc w:val="both"/>
        <w:rPr>
          <w:color w:val="000000"/>
          <w:sz w:val="22"/>
          <w:szCs w:val="22"/>
        </w:rPr>
      </w:pPr>
      <w:r w:rsidRPr="004A1493">
        <w:rPr>
          <w:color w:val="000000"/>
          <w:sz w:val="22"/>
          <w:szCs w:val="22"/>
        </w:rPr>
        <w:t>  </w:t>
      </w:r>
    </w:p>
    <w:p w14:paraId="61CB74F9" w14:textId="77777777" w:rsidR="00C0088F" w:rsidRPr="004A1493" w:rsidRDefault="00C0088F" w:rsidP="00C0088F">
      <w:pPr>
        <w:spacing w:before="120"/>
        <w:jc w:val="center"/>
        <w:rPr>
          <w:color w:val="000000"/>
          <w:sz w:val="22"/>
          <w:szCs w:val="22"/>
        </w:rPr>
      </w:pPr>
      <w:r w:rsidRPr="004A1493">
        <w:rPr>
          <w:b/>
          <w:bCs/>
          <w:color w:val="000000"/>
          <w:sz w:val="22"/>
          <w:szCs w:val="22"/>
        </w:rPr>
        <w:t>I.</w:t>
      </w:r>
    </w:p>
    <w:p w14:paraId="5553696B" w14:textId="77777777" w:rsidR="00C0088F" w:rsidRPr="004A1493" w:rsidRDefault="00C0088F" w:rsidP="00C0088F">
      <w:pPr>
        <w:spacing w:before="120"/>
        <w:jc w:val="center"/>
        <w:rPr>
          <w:color w:val="000000"/>
          <w:sz w:val="22"/>
          <w:szCs w:val="22"/>
        </w:rPr>
      </w:pPr>
      <w:r w:rsidRPr="004A1493">
        <w:rPr>
          <w:b/>
          <w:bCs/>
          <w:color w:val="000000"/>
          <w:sz w:val="22"/>
          <w:szCs w:val="22"/>
        </w:rPr>
        <w:t>Předmět smlouvy</w:t>
      </w:r>
    </w:p>
    <w:p w14:paraId="7C001C76" w14:textId="77777777" w:rsidR="00C0088F" w:rsidRPr="004A1493" w:rsidRDefault="00C0088F" w:rsidP="00C0088F">
      <w:pPr>
        <w:spacing w:before="120"/>
        <w:jc w:val="both"/>
        <w:rPr>
          <w:color w:val="000000"/>
          <w:sz w:val="22"/>
          <w:szCs w:val="22"/>
        </w:rPr>
      </w:pPr>
      <w:r w:rsidRPr="004A1493">
        <w:rPr>
          <w:color w:val="000000"/>
          <w:sz w:val="22"/>
          <w:szCs w:val="22"/>
        </w:rPr>
        <w:t> </w:t>
      </w:r>
    </w:p>
    <w:p w14:paraId="2B50DEF8" w14:textId="77777777" w:rsidR="00C0088F" w:rsidRPr="004A1493" w:rsidRDefault="00C0088F" w:rsidP="00C0088F">
      <w:pPr>
        <w:pStyle w:val="Odstavecseseznamem"/>
        <w:numPr>
          <w:ilvl w:val="0"/>
          <w:numId w:val="29"/>
        </w:numPr>
        <w:suppressAutoHyphens/>
        <w:spacing w:before="120"/>
        <w:ind w:left="567" w:hanging="567"/>
        <w:contextualSpacing w:val="0"/>
        <w:jc w:val="both"/>
        <w:rPr>
          <w:color w:val="000000"/>
          <w:sz w:val="22"/>
          <w:szCs w:val="22"/>
        </w:rPr>
      </w:pPr>
      <w:r w:rsidRPr="004A1493">
        <w:rPr>
          <w:color w:val="000000"/>
          <w:sz w:val="22"/>
          <w:szCs w:val="22"/>
        </w:rPr>
        <w:t xml:space="preserve">Předmětem této Smlouvy je poskytnutí finančních prostředků ze strukturálních fondů Evropské unie prostřednictvím Operačního programu Jan Amos Komenský (dále jen „OP JAK“) a projektu Prague Smart Akcelerátor+ a z rozpočtu HMP formou dotace v celkové výši </w:t>
      </w:r>
      <w:r w:rsidRPr="004A1493">
        <w:rPr>
          <w:b/>
          <w:bCs/>
          <w:color w:val="000000"/>
          <w:sz w:val="22"/>
          <w:szCs w:val="22"/>
        </w:rPr>
        <w:t xml:space="preserve">200 000 Kč (slovy dvě stě tisíc korun českých) </w:t>
      </w:r>
      <w:r w:rsidRPr="004A1493">
        <w:rPr>
          <w:color w:val="000000"/>
          <w:sz w:val="22"/>
          <w:szCs w:val="22"/>
        </w:rPr>
        <w:t>(dále jen „Dotace“) na výše uvedený účet Příjemce do 30 kalendářních dnů po nabytí účinnosti Smlouvy. </w:t>
      </w:r>
    </w:p>
    <w:p w14:paraId="58868C8F" w14:textId="77777777" w:rsidR="00C0088F" w:rsidRPr="004A1493" w:rsidRDefault="00C0088F" w:rsidP="00C0088F">
      <w:pPr>
        <w:spacing w:before="120"/>
        <w:jc w:val="both"/>
        <w:rPr>
          <w:color w:val="000000"/>
          <w:sz w:val="22"/>
          <w:szCs w:val="22"/>
        </w:rPr>
      </w:pPr>
      <w:r w:rsidRPr="004A1493">
        <w:rPr>
          <w:color w:val="000000" w:themeColor="text1"/>
          <w:sz w:val="22"/>
          <w:szCs w:val="22"/>
        </w:rPr>
        <w:t> </w:t>
      </w:r>
    </w:p>
    <w:p w14:paraId="08B0286A" w14:textId="77777777" w:rsidR="007547A5" w:rsidRPr="004A1493" w:rsidRDefault="007547A5">
      <w:pPr>
        <w:spacing w:after="160" w:line="259" w:lineRule="auto"/>
        <w:rPr>
          <w:b/>
          <w:bCs/>
          <w:color w:val="000000"/>
          <w:sz w:val="22"/>
          <w:szCs w:val="22"/>
        </w:rPr>
      </w:pPr>
      <w:r w:rsidRPr="004A1493">
        <w:rPr>
          <w:b/>
          <w:bCs/>
          <w:color w:val="000000"/>
          <w:sz w:val="22"/>
          <w:szCs w:val="22"/>
        </w:rPr>
        <w:br w:type="page"/>
      </w:r>
    </w:p>
    <w:p w14:paraId="3CCB3A31" w14:textId="3E100C2E" w:rsidR="00C0088F" w:rsidRPr="004A1493" w:rsidRDefault="00C0088F" w:rsidP="00C0088F">
      <w:pPr>
        <w:spacing w:before="120"/>
        <w:jc w:val="center"/>
        <w:rPr>
          <w:color w:val="000000"/>
          <w:sz w:val="22"/>
          <w:szCs w:val="22"/>
        </w:rPr>
      </w:pPr>
      <w:r w:rsidRPr="004A1493">
        <w:rPr>
          <w:b/>
          <w:bCs/>
          <w:color w:val="000000"/>
          <w:sz w:val="22"/>
          <w:szCs w:val="22"/>
        </w:rPr>
        <w:lastRenderedPageBreak/>
        <w:t>II.</w:t>
      </w:r>
    </w:p>
    <w:p w14:paraId="5B844763" w14:textId="77777777" w:rsidR="00C0088F" w:rsidRPr="004A1493" w:rsidRDefault="00C0088F" w:rsidP="00C0088F">
      <w:pPr>
        <w:spacing w:before="120"/>
        <w:jc w:val="center"/>
        <w:rPr>
          <w:color w:val="000000"/>
          <w:sz w:val="22"/>
          <w:szCs w:val="22"/>
        </w:rPr>
      </w:pPr>
      <w:r w:rsidRPr="004A1493">
        <w:rPr>
          <w:b/>
          <w:bCs/>
          <w:color w:val="000000"/>
          <w:sz w:val="22"/>
          <w:szCs w:val="22"/>
        </w:rPr>
        <w:t>Účel dotace</w:t>
      </w:r>
    </w:p>
    <w:p w14:paraId="7CB375C8" w14:textId="77777777" w:rsidR="00C0088F" w:rsidRPr="004A1493" w:rsidRDefault="00C0088F" w:rsidP="00C0088F">
      <w:pPr>
        <w:spacing w:before="120"/>
        <w:jc w:val="both"/>
        <w:rPr>
          <w:color w:val="000000"/>
          <w:sz w:val="22"/>
          <w:szCs w:val="22"/>
        </w:rPr>
      </w:pPr>
      <w:r w:rsidRPr="004A1493">
        <w:rPr>
          <w:color w:val="000000"/>
          <w:sz w:val="22"/>
          <w:szCs w:val="22"/>
        </w:rPr>
        <w:t> </w:t>
      </w:r>
    </w:p>
    <w:p w14:paraId="0BBA6B2D" w14:textId="77777777" w:rsidR="00C0088F" w:rsidRPr="004A1493" w:rsidRDefault="00C0088F" w:rsidP="00C0088F">
      <w:pPr>
        <w:numPr>
          <w:ilvl w:val="0"/>
          <w:numId w:val="1"/>
        </w:numPr>
        <w:tabs>
          <w:tab w:val="clear" w:pos="720"/>
          <w:tab w:val="num" w:pos="567"/>
        </w:tabs>
        <w:spacing w:before="120"/>
        <w:ind w:left="567" w:hanging="567"/>
        <w:jc w:val="both"/>
        <w:rPr>
          <w:color w:val="000000"/>
          <w:sz w:val="22"/>
          <w:szCs w:val="22"/>
        </w:rPr>
      </w:pPr>
      <w:r w:rsidRPr="004A1493">
        <w:rPr>
          <w:color w:val="000000" w:themeColor="text1"/>
          <w:sz w:val="22"/>
          <w:szCs w:val="22"/>
        </w:rPr>
        <w:t xml:space="preserve">Dotace je poskytována na uhrazení způsobilých nákladů dle Akceleračního programu pro oblast herního vývoje pro rok 2025 schváleného usnesením Rady hl. m. Prahy č. </w:t>
      </w:r>
      <w:r w:rsidRPr="004A1493">
        <w:rPr>
          <w:color w:val="000000" w:themeColor="text1"/>
          <w:sz w:val="22"/>
          <w:szCs w:val="22"/>
          <w:highlight w:val="yellow"/>
        </w:rPr>
        <w:t>……</w:t>
      </w:r>
      <w:r w:rsidRPr="004A1493">
        <w:rPr>
          <w:color w:val="000000" w:themeColor="text1"/>
          <w:sz w:val="22"/>
          <w:szCs w:val="22"/>
        </w:rPr>
        <w:t xml:space="preserve"> ze dne </w:t>
      </w:r>
      <w:r w:rsidRPr="004A1493">
        <w:rPr>
          <w:color w:val="000000" w:themeColor="text1"/>
          <w:sz w:val="22"/>
          <w:szCs w:val="22"/>
          <w:highlight w:val="yellow"/>
        </w:rPr>
        <w:t>…….</w:t>
      </w:r>
      <w:r w:rsidRPr="004A1493">
        <w:rPr>
          <w:color w:val="000000" w:themeColor="text1"/>
          <w:sz w:val="22"/>
          <w:szCs w:val="22"/>
        </w:rPr>
        <w:t xml:space="preserve"> (dále jen „Program“), vzniklých v souvislosti s realizací projektu </w:t>
      </w:r>
      <w:r w:rsidRPr="004A1493">
        <w:rPr>
          <w:color w:val="000000" w:themeColor="text1"/>
          <w:sz w:val="22"/>
          <w:szCs w:val="22"/>
          <w:highlight w:val="yellow"/>
        </w:rPr>
        <w:t>…………</w:t>
      </w:r>
      <w:proofErr w:type="gramStart"/>
      <w:r w:rsidRPr="004A1493">
        <w:rPr>
          <w:color w:val="000000" w:themeColor="text1"/>
          <w:sz w:val="22"/>
          <w:szCs w:val="22"/>
          <w:highlight w:val="yellow"/>
        </w:rPr>
        <w:t>…….</w:t>
      </w:r>
      <w:proofErr w:type="gramEnd"/>
      <w:r w:rsidRPr="004A1493">
        <w:rPr>
          <w:color w:val="000000" w:themeColor="text1"/>
          <w:sz w:val="22"/>
          <w:szCs w:val="22"/>
          <w:highlight w:val="yellow"/>
        </w:rPr>
        <w:t>,</w:t>
      </w:r>
      <w:r w:rsidRPr="004A1493">
        <w:rPr>
          <w:color w:val="000000" w:themeColor="text1"/>
          <w:sz w:val="22"/>
          <w:szCs w:val="22"/>
        </w:rPr>
        <w:t xml:space="preserve"> blíže specifikovaného v Žádosti o poskytnutí dotace v rámci Programu ze dne </w:t>
      </w:r>
      <w:r w:rsidRPr="004A1493">
        <w:rPr>
          <w:color w:val="000000" w:themeColor="text1"/>
          <w:sz w:val="22"/>
          <w:szCs w:val="22"/>
          <w:highlight w:val="yellow"/>
        </w:rPr>
        <w:t>………….</w:t>
      </w:r>
      <w:r w:rsidRPr="004A1493">
        <w:rPr>
          <w:color w:val="000000" w:themeColor="text1"/>
          <w:sz w:val="22"/>
          <w:szCs w:val="22"/>
        </w:rPr>
        <w:t xml:space="preserve"> č. j. S-MHMP </w:t>
      </w:r>
      <w:r w:rsidRPr="004A1493">
        <w:rPr>
          <w:color w:val="000000" w:themeColor="text1"/>
          <w:sz w:val="22"/>
          <w:szCs w:val="22"/>
          <w:highlight w:val="yellow"/>
        </w:rPr>
        <w:t>……….</w:t>
      </w:r>
      <w:r w:rsidRPr="004A1493">
        <w:rPr>
          <w:color w:val="000000" w:themeColor="text1"/>
          <w:sz w:val="22"/>
          <w:szCs w:val="22"/>
        </w:rPr>
        <w:t xml:space="preserve"> (dále jen „Žádost“), realizovaného v termínu nejpozději do 31. 12. 2025 (dále jen „Účel“). </w:t>
      </w:r>
    </w:p>
    <w:p w14:paraId="09AE5805" w14:textId="77777777" w:rsidR="00C0088F" w:rsidRPr="004A1493" w:rsidRDefault="00C0088F" w:rsidP="00C0088F">
      <w:pPr>
        <w:numPr>
          <w:ilvl w:val="0"/>
          <w:numId w:val="1"/>
        </w:numPr>
        <w:tabs>
          <w:tab w:val="clear" w:pos="720"/>
          <w:tab w:val="num" w:pos="567"/>
        </w:tabs>
        <w:spacing w:before="120"/>
        <w:ind w:left="567" w:hanging="567"/>
        <w:jc w:val="both"/>
        <w:rPr>
          <w:color w:val="000000" w:themeColor="text1"/>
          <w:sz w:val="22"/>
          <w:szCs w:val="22"/>
        </w:rPr>
      </w:pPr>
      <w:r w:rsidRPr="004A1493">
        <w:rPr>
          <w:color w:val="000000" w:themeColor="text1"/>
          <w:sz w:val="22"/>
          <w:szCs w:val="22"/>
        </w:rPr>
        <w:t>Dotaci, ani její část, nesmí příjemce poskytnout jiným právnickým nebo fyzickým osobám, pokud nejde o úhrady spojené s realizací Účelu, na nějž byla Dotace poskytnuta.</w:t>
      </w:r>
    </w:p>
    <w:p w14:paraId="007373EA" w14:textId="77777777" w:rsidR="00C0088F" w:rsidRPr="004A1493" w:rsidRDefault="00C0088F" w:rsidP="00C0088F">
      <w:pPr>
        <w:numPr>
          <w:ilvl w:val="0"/>
          <w:numId w:val="1"/>
        </w:numPr>
        <w:tabs>
          <w:tab w:val="clear" w:pos="720"/>
          <w:tab w:val="num" w:pos="567"/>
        </w:tabs>
        <w:spacing w:before="120"/>
        <w:ind w:left="567" w:hanging="567"/>
        <w:jc w:val="both"/>
        <w:rPr>
          <w:color w:val="000000"/>
          <w:sz w:val="22"/>
          <w:szCs w:val="22"/>
        </w:rPr>
      </w:pPr>
      <w:r w:rsidRPr="004A1493">
        <w:rPr>
          <w:color w:val="000000" w:themeColor="text1"/>
          <w:sz w:val="22"/>
          <w:szCs w:val="22"/>
        </w:rPr>
        <w:t xml:space="preserve">Příjemce Dotaci přijímá a zavazuje se ji využít na realizaci Účelu dle odstavce 1 tohoto článku v souladu s podmínkami stanovenými touto Smlouvou, Programem, Pravidly pro žadatele a příjemce Obecná a Specifická část – Operační program Jan Amos Komenský (dále jen „Pravidla OP JAK“) a v souladu se Žádostí.  </w:t>
      </w:r>
    </w:p>
    <w:p w14:paraId="68327F0B" w14:textId="77777777" w:rsidR="00C0088F" w:rsidRPr="004A1493" w:rsidRDefault="00C0088F" w:rsidP="00C0088F">
      <w:pPr>
        <w:spacing w:before="120"/>
        <w:jc w:val="center"/>
        <w:rPr>
          <w:color w:val="000000"/>
          <w:sz w:val="22"/>
          <w:szCs w:val="22"/>
        </w:rPr>
      </w:pPr>
      <w:r w:rsidRPr="004A1493">
        <w:rPr>
          <w:b/>
          <w:bCs/>
          <w:color w:val="000000"/>
          <w:sz w:val="22"/>
          <w:szCs w:val="22"/>
        </w:rPr>
        <w:t>III.</w:t>
      </w:r>
    </w:p>
    <w:p w14:paraId="7440BB2F" w14:textId="77777777" w:rsidR="00C0088F" w:rsidRPr="004A1493" w:rsidRDefault="00C0088F" w:rsidP="00C0088F">
      <w:pPr>
        <w:spacing w:before="120"/>
        <w:jc w:val="center"/>
        <w:rPr>
          <w:color w:val="000000"/>
          <w:sz w:val="22"/>
          <w:szCs w:val="22"/>
        </w:rPr>
      </w:pPr>
      <w:r w:rsidRPr="004A1493">
        <w:rPr>
          <w:b/>
          <w:bCs/>
          <w:color w:val="000000"/>
          <w:sz w:val="22"/>
          <w:szCs w:val="22"/>
        </w:rPr>
        <w:t>Doložka</w:t>
      </w:r>
    </w:p>
    <w:p w14:paraId="7259FED8" w14:textId="77777777" w:rsidR="00C0088F" w:rsidRPr="004A1493" w:rsidRDefault="00C0088F" w:rsidP="00C0088F">
      <w:pPr>
        <w:spacing w:before="120"/>
        <w:jc w:val="both"/>
        <w:rPr>
          <w:color w:val="000000"/>
          <w:sz w:val="22"/>
          <w:szCs w:val="22"/>
        </w:rPr>
      </w:pPr>
      <w:r w:rsidRPr="004A1493">
        <w:rPr>
          <w:color w:val="000000"/>
          <w:sz w:val="22"/>
          <w:szCs w:val="22"/>
        </w:rPr>
        <w:t>  </w:t>
      </w:r>
    </w:p>
    <w:p w14:paraId="01929F94" w14:textId="77777777" w:rsidR="00C0088F" w:rsidRPr="004A1493" w:rsidRDefault="00C0088F" w:rsidP="00C0088F">
      <w:pPr>
        <w:pStyle w:val="Odstavecseseznamem"/>
        <w:numPr>
          <w:ilvl w:val="0"/>
          <w:numId w:val="30"/>
        </w:numPr>
        <w:suppressAutoHyphens/>
        <w:spacing w:before="120"/>
        <w:ind w:left="567" w:hanging="567"/>
        <w:contextualSpacing w:val="0"/>
        <w:jc w:val="both"/>
        <w:rPr>
          <w:color w:val="000000"/>
          <w:sz w:val="22"/>
          <w:szCs w:val="22"/>
        </w:rPr>
      </w:pPr>
      <w:r w:rsidRPr="004A1493">
        <w:rPr>
          <w:color w:val="000000"/>
          <w:sz w:val="22"/>
          <w:szCs w:val="22"/>
        </w:rPr>
        <w:t xml:space="preserve">V souladu s </w:t>
      </w:r>
      <w:proofErr w:type="spellStart"/>
      <w:r w:rsidRPr="004A1493">
        <w:rPr>
          <w:color w:val="000000"/>
          <w:sz w:val="22"/>
          <w:szCs w:val="22"/>
        </w:rPr>
        <w:t>ust</w:t>
      </w:r>
      <w:proofErr w:type="spellEnd"/>
      <w:r w:rsidRPr="004A1493">
        <w:rPr>
          <w:color w:val="000000"/>
          <w:sz w:val="22"/>
          <w:szCs w:val="22"/>
        </w:rPr>
        <w:t>. § 43 odst. 1 zákona č. 131/2000 Sb., o hlavním městě Praze, ve znění pozdějších předpisů, tímto hl. m. Praha (dále jen „HMP“) potvrzuje, že uzavření této smlouvy schválila Rada HMP usnesením č.</w:t>
      </w:r>
      <w:proofErr w:type="gramStart"/>
      <w:r w:rsidRPr="004A1493">
        <w:rPr>
          <w:color w:val="000000"/>
          <w:sz w:val="22"/>
          <w:szCs w:val="22"/>
        </w:rPr>
        <w:t xml:space="preserve"> </w:t>
      </w:r>
      <w:r w:rsidRPr="004A1493">
        <w:rPr>
          <w:color w:val="000000"/>
          <w:sz w:val="22"/>
          <w:szCs w:val="22"/>
          <w:highlight w:val="yellow"/>
        </w:rPr>
        <w:t>….</w:t>
      </w:r>
      <w:proofErr w:type="gramEnd"/>
      <w:r w:rsidRPr="004A1493">
        <w:rPr>
          <w:color w:val="000000"/>
          <w:sz w:val="22"/>
          <w:szCs w:val="22"/>
          <w:highlight w:val="yellow"/>
        </w:rPr>
        <w:t>.</w:t>
      </w:r>
      <w:r w:rsidRPr="004A1493">
        <w:rPr>
          <w:color w:val="000000"/>
          <w:sz w:val="22"/>
          <w:szCs w:val="22"/>
        </w:rPr>
        <w:t xml:space="preserve"> ze dne </w:t>
      </w:r>
      <w:r w:rsidRPr="004A1493">
        <w:rPr>
          <w:color w:val="000000"/>
          <w:sz w:val="22"/>
          <w:szCs w:val="22"/>
          <w:highlight w:val="yellow"/>
        </w:rPr>
        <w:t>……….</w:t>
      </w:r>
      <w:r w:rsidRPr="004A1493">
        <w:rPr>
          <w:color w:val="000000"/>
          <w:sz w:val="22"/>
          <w:szCs w:val="22"/>
        </w:rPr>
        <w:t> </w:t>
      </w:r>
    </w:p>
    <w:p w14:paraId="7100B506" w14:textId="77777777" w:rsidR="00C0088F" w:rsidRPr="004A1493" w:rsidRDefault="00C0088F" w:rsidP="00C0088F">
      <w:pPr>
        <w:spacing w:before="120"/>
        <w:jc w:val="both"/>
        <w:rPr>
          <w:color w:val="000000"/>
          <w:sz w:val="22"/>
          <w:szCs w:val="22"/>
        </w:rPr>
      </w:pPr>
      <w:r w:rsidRPr="004A1493">
        <w:rPr>
          <w:color w:val="000000"/>
          <w:sz w:val="22"/>
          <w:szCs w:val="22"/>
        </w:rPr>
        <w:t> </w:t>
      </w:r>
    </w:p>
    <w:p w14:paraId="432D933A" w14:textId="77777777" w:rsidR="00C0088F" w:rsidRPr="004A1493" w:rsidRDefault="00C0088F" w:rsidP="00C0088F">
      <w:pPr>
        <w:spacing w:before="120"/>
        <w:jc w:val="center"/>
        <w:rPr>
          <w:color w:val="000000"/>
          <w:sz w:val="22"/>
          <w:szCs w:val="22"/>
        </w:rPr>
      </w:pPr>
      <w:r w:rsidRPr="004A1493">
        <w:rPr>
          <w:b/>
          <w:bCs/>
          <w:color w:val="000000"/>
          <w:sz w:val="22"/>
          <w:szCs w:val="22"/>
        </w:rPr>
        <w:t>IV.</w:t>
      </w:r>
    </w:p>
    <w:p w14:paraId="4675FA9A" w14:textId="77777777" w:rsidR="00C0088F" w:rsidRPr="004A1493" w:rsidRDefault="00C0088F" w:rsidP="00C0088F">
      <w:pPr>
        <w:spacing w:before="120"/>
        <w:jc w:val="center"/>
        <w:rPr>
          <w:color w:val="000000"/>
          <w:sz w:val="22"/>
          <w:szCs w:val="22"/>
        </w:rPr>
      </w:pPr>
      <w:r w:rsidRPr="004A1493">
        <w:rPr>
          <w:b/>
          <w:bCs/>
          <w:color w:val="000000"/>
          <w:sz w:val="22"/>
          <w:szCs w:val="22"/>
        </w:rPr>
        <w:t xml:space="preserve">Veřejná podpora </w:t>
      </w:r>
    </w:p>
    <w:p w14:paraId="371BBA51" w14:textId="77777777" w:rsidR="00C0088F" w:rsidRPr="004A1493" w:rsidRDefault="00C0088F" w:rsidP="00C0088F">
      <w:pPr>
        <w:spacing w:before="120"/>
        <w:jc w:val="both"/>
        <w:rPr>
          <w:color w:val="000000"/>
          <w:sz w:val="22"/>
          <w:szCs w:val="22"/>
        </w:rPr>
      </w:pPr>
      <w:r w:rsidRPr="004A1493">
        <w:rPr>
          <w:color w:val="000000"/>
          <w:sz w:val="22"/>
          <w:szCs w:val="22"/>
        </w:rPr>
        <w:t> </w:t>
      </w:r>
    </w:p>
    <w:p w14:paraId="3DC77D22" w14:textId="77777777" w:rsidR="00C0088F" w:rsidRPr="004A1493" w:rsidRDefault="00C0088F" w:rsidP="00C0088F">
      <w:pPr>
        <w:pStyle w:val="Odstavecseseznamem"/>
        <w:numPr>
          <w:ilvl w:val="0"/>
          <w:numId w:val="31"/>
        </w:numPr>
        <w:tabs>
          <w:tab w:val="clear" w:pos="360"/>
        </w:tabs>
        <w:spacing w:before="120"/>
        <w:ind w:left="567" w:hanging="567"/>
        <w:jc w:val="both"/>
        <w:rPr>
          <w:sz w:val="22"/>
          <w:szCs w:val="22"/>
          <w:highlight w:val="yellow"/>
        </w:rPr>
      </w:pPr>
      <w:r w:rsidRPr="004A1493">
        <w:rPr>
          <w:sz w:val="22"/>
          <w:szCs w:val="22"/>
          <w:highlight w:val="yellow"/>
        </w:rPr>
        <w:t>Poskytnutí Dotace kumulativně nenaplňuje znaky veřejné podpory dle čl. 107 odst. 1 Smlouvy o fungování EU a dotace nezakládá veřejnou podporu. /</w:t>
      </w:r>
    </w:p>
    <w:p w14:paraId="291854AC" w14:textId="77777777" w:rsidR="00C0088F" w:rsidRPr="004A1493" w:rsidRDefault="00C0088F" w:rsidP="00C0088F">
      <w:pPr>
        <w:ind w:left="567"/>
        <w:jc w:val="both"/>
        <w:rPr>
          <w:i/>
          <w:iCs/>
          <w:sz w:val="22"/>
          <w:szCs w:val="22"/>
        </w:rPr>
      </w:pPr>
      <w:r w:rsidRPr="004A1493">
        <w:rPr>
          <w:sz w:val="22"/>
          <w:szCs w:val="22"/>
          <w:highlight w:val="yellow"/>
        </w:rPr>
        <w:t>Dotace je poskytována jako podpora malého rozsahu, tj. v režimu de minimis, v souladu s nařízením Komise (ES) č. 2023/2831 o použití článků 107 a 108 Smlouvy o fungování Evropské unie na podporu de minimis. Poskytnutí dotace bude poskytovatelem zaznamenáno v registru de minimis podle § 3a odst. 4 zákona č. 215/2004 Sb., o úpravě některých vztahů v oblasti veřejné podpory a o změně zákona o podpoře výzkumu a vývoje, ve znění pozdějších předpisů. Pokud by u příjemce ke dni podpisu této smlouvy došlo k překročení celkové výše podpory de minimis, budou finanční</w:t>
      </w:r>
      <w:r w:rsidRPr="004A1493">
        <w:rPr>
          <w:highlight w:val="yellow"/>
        </w:rPr>
        <w:t xml:space="preserve"> </w:t>
      </w:r>
      <w:r w:rsidRPr="004A1493">
        <w:rPr>
          <w:sz w:val="22"/>
          <w:szCs w:val="22"/>
          <w:highlight w:val="yellow"/>
        </w:rPr>
        <w:t>prostředky poskytnuty pouze do této výše</w:t>
      </w:r>
      <w:r w:rsidRPr="004A1493">
        <w:rPr>
          <w:i/>
          <w:iCs/>
          <w:sz w:val="22"/>
          <w:szCs w:val="22"/>
          <w:highlight w:val="yellow"/>
        </w:rPr>
        <w:t>. (druhá varianta se použije jen v případě dotací naplňujících znaky veřejné podpory)</w:t>
      </w:r>
    </w:p>
    <w:p w14:paraId="257523BA" w14:textId="77777777" w:rsidR="00C0088F" w:rsidRPr="004A1493" w:rsidRDefault="00C0088F" w:rsidP="00C0088F">
      <w:pPr>
        <w:pStyle w:val="Odstavecseseznamem"/>
        <w:spacing w:before="120"/>
        <w:ind w:left="567" w:hanging="567"/>
        <w:jc w:val="both"/>
        <w:rPr>
          <w:sz w:val="22"/>
          <w:szCs w:val="22"/>
        </w:rPr>
      </w:pPr>
    </w:p>
    <w:p w14:paraId="19E856DD" w14:textId="77777777" w:rsidR="00C0088F" w:rsidRPr="004A1493" w:rsidRDefault="00C0088F" w:rsidP="00C0088F">
      <w:pPr>
        <w:pStyle w:val="Odstavecseseznamem"/>
        <w:numPr>
          <w:ilvl w:val="0"/>
          <w:numId w:val="31"/>
        </w:numPr>
        <w:tabs>
          <w:tab w:val="clear" w:pos="360"/>
        </w:tabs>
        <w:suppressAutoHyphens/>
        <w:spacing w:before="120"/>
        <w:ind w:left="567" w:hanging="567"/>
        <w:contextualSpacing w:val="0"/>
        <w:jc w:val="both"/>
        <w:rPr>
          <w:color w:val="000000"/>
          <w:sz w:val="22"/>
          <w:szCs w:val="22"/>
        </w:rPr>
      </w:pPr>
      <w:r w:rsidRPr="004A1493">
        <w:rPr>
          <w:color w:val="000000"/>
          <w:sz w:val="22"/>
          <w:szCs w:val="22"/>
        </w:rPr>
        <w:t>Duplicitní úhrada stejných výdajů Účelu z různých veřejných i jiných zdrojů není dovolena. </w:t>
      </w:r>
    </w:p>
    <w:p w14:paraId="015909EC" w14:textId="77777777" w:rsidR="00C0088F" w:rsidRPr="004A1493" w:rsidRDefault="00C0088F" w:rsidP="00C0088F">
      <w:pPr>
        <w:spacing w:before="120"/>
        <w:jc w:val="both"/>
        <w:rPr>
          <w:b/>
          <w:bCs/>
          <w:color w:val="000000"/>
          <w:sz w:val="22"/>
          <w:szCs w:val="22"/>
        </w:rPr>
      </w:pPr>
    </w:p>
    <w:p w14:paraId="1A25FAB7" w14:textId="77777777" w:rsidR="007547A5" w:rsidRPr="004A1493" w:rsidRDefault="007547A5">
      <w:pPr>
        <w:spacing w:after="160" w:line="259" w:lineRule="auto"/>
        <w:rPr>
          <w:b/>
          <w:bCs/>
          <w:color w:val="000000"/>
          <w:sz w:val="22"/>
          <w:szCs w:val="22"/>
        </w:rPr>
      </w:pPr>
      <w:r w:rsidRPr="004A1493">
        <w:rPr>
          <w:b/>
          <w:bCs/>
          <w:color w:val="000000"/>
          <w:sz w:val="22"/>
          <w:szCs w:val="22"/>
        </w:rPr>
        <w:br w:type="page"/>
      </w:r>
    </w:p>
    <w:p w14:paraId="4FDE4799" w14:textId="6E7503F7" w:rsidR="00C0088F" w:rsidRPr="004A1493" w:rsidRDefault="00C0088F" w:rsidP="00C0088F">
      <w:pPr>
        <w:spacing w:before="120"/>
        <w:jc w:val="center"/>
        <w:rPr>
          <w:color w:val="000000"/>
          <w:sz w:val="22"/>
          <w:szCs w:val="22"/>
        </w:rPr>
      </w:pPr>
      <w:r w:rsidRPr="004A1493">
        <w:rPr>
          <w:b/>
          <w:bCs/>
          <w:color w:val="000000"/>
          <w:sz w:val="22"/>
          <w:szCs w:val="22"/>
        </w:rPr>
        <w:lastRenderedPageBreak/>
        <w:t>V.</w:t>
      </w:r>
    </w:p>
    <w:p w14:paraId="1D6DA083" w14:textId="77777777" w:rsidR="00C0088F" w:rsidRPr="004A1493" w:rsidRDefault="00C0088F" w:rsidP="00C0088F">
      <w:pPr>
        <w:spacing w:before="120"/>
        <w:jc w:val="center"/>
        <w:rPr>
          <w:color w:val="000000"/>
          <w:sz w:val="22"/>
          <w:szCs w:val="22"/>
        </w:rPr>
      </w:pPr>
      <w:r w:rsidRPr="004A1493">
        <w:rPr>
          <w:b/>
          <w:bCs/>
          <w:color w:val="000000"/>
          <w:sz w:val="22"/>
          <w:szCs w:val="22"/>
        </w:rPr>
        <w:t>Podmínky poskytnutí a použití Dotace</w:t>
      </w:r>
    </w:p>
    <w:p w14:paraId="11B37E0F" w14:textId="77777777" w:rsidR="00C0088F" w:rsidRPr="004A1493" w:rsidRDefault="00C0088F" w:rsidP="00C0088F">
      <w:pPr>
        <w:spacing w:before="120"/>
        <w:jc w:val="both"/>
        <w:rPr>
          <w:color w:val="000000"/>
          <w:sz w:val="22"/>
          <w:szCs w:val="22"/>
        </w:rPr>
      </w:pPr>
      <w:r w:rsidRPr="004A1493">
        <w:rPr>
          <w:color w:val="000000"/>
          <w:sz w:val="22"/>
          <w:szCs w:val="22"/>
        </w:rPr>
        <w:t> </w:t>
      </w:r>
    </w:p>
    <w:p w14:paraId="2DF7CF54" w14:textId="77777777" w:rsidR="00C0088F" w:rsidRPr="004A1493" w:rsidRDefault="00C0088F" w:rsidP="00C0088F">
      <w:pPr>
        <w:pStyle w:val="Odstavecseseznamem"/>
        <w:numPr>
          <w:ilvl w:val="0"/>
          <w:numId w:val="2"/>
        </w:numPr>
        <w:suppressAutoHyphens/>
        <w:spacing w:before="120"/>
        <w:contextualSpacing w:val="0"/>
        <w:jc w:val="both"/>
        <w:rPr>
          <w:color w:val="000000"/>
          <w:sz w:val="22"/>
          <w:szCs w:val="22"/>
        </w:rPr>
      </w:pPr>
      <w:r w:rsidRPr="004A1493">
        <w:rPr>
          <w:color w:val="000000"/>
          <w:sz w:val="22"/>
          <w:szCs w:val="22"/>
        </w:rPr>
        <w:t>Dotaci je možné použít na způsobilé výdaje vzniklé od 1. 9. 2025 do 31. 12. 2025. </w:t>
      </w:r>
    </w:p>
    <w:p w14:paraId="16D9A71B" w14:textId="77777777" w:rsidR="00C0088F" w:rsidRPr="004A1493" w:rsidRDefault="00C0088F" w:rsidP="00C0088F">
      <w:pPr>
        <w:pStyle w:val="Odstavecseseznamem"/>
        <w:numPr>
          <w:ilvl w:val="0"/>
          <w:numId w:val="2"/>
        </w:numPr>
        <w:suppressAutoHyphens/>
        <w:spacing w:before="120"/>
        <w:contextualSpacing w:val="0"/>
        <w:jc w:val="both"/>
        <w:rPr>
          <w:color w:val="000000"/>
          <w:sz w:val="22"/>
          <w:szCs w:val="22"/>
        </w:rPr>
      </w:pPr>
      <w:r w:rsidRPr="004A1493">
        <w:rPr>
          <w:color w:val="000000" w:themeColor="text1"/>
          <w:sz w:val="22"/>
          <w:szCs w:val="22"/>
        </w:rPr>
        <w:t xml:space="preserve">Příjemce je povinen využít Dotaci hospodárně, efektivně a účelně pouze na realizaci Účelu, vlastním jménem a na vlastní zodpovědnost, na úhradu uznatelných nákladů vyplývajících z Účelu. Z poskytnuté Dotace nelze hradit nezpůsobilé výdaje. V případě, že Příjemce nedokončí účast v rámci Akceleračního programu uvedených v Účelu Programu, bude povinen vrátit Poskytovateli Dotaci v plné výši. </w:t>
      </w:r>
    </w:p>
    <w:p w14:paraId="36EC6544" w14:textId="77777777" w:rsidR="00C0088F" w:rsidRPr="004A1493" w:rsidRDefault="00C0088F" w:rsidP="00C0088F">
      <w:pPr>
        <w:pStyle w:val="Odstavecseseznamem"/>
        <w:numPr>
          <w:ilvl w:val="0"/>
          <w:numId w:val="2"/>
        </w:numPr>
        <w:suppressAutoHyphens/>
        <w:spacing w:before="120"/>
        <w:contextualSpacing w:val="0"/>
        <w:jc w:val="both"/>
        <w:rPr>
          <w:color w:val="000000"/>
          <w:sz w:val="22"/>
          <w:szCs w:val="22"/>
        </w:rPr>
      </w:pPr>
      <w:r w:rsidRPr="004A1493">
        <w:rPr>
          <w:color w:val="000000"/>
          <w:sz w:val="22"/>
          <w:szCs w:val="22"/>
        </w:rPr>
        <w:t>Příjemce je povinen dosáhnout Účelu, na který je Dotace poskytnuta, nejpozději do 31. 12. 2025. Pokud takto neučiní, musí neprodleně vrátit Dotaci v plné výši, nejpozději však do 31. 1. 2026 na účet Poskytovatele uvedený v záhlaví Smlouvy a uvést jako variabilní symbol číslo Smlouvy. </w:t>
      </w:r>
    </w:p>
    <w:p w14:paraId="25F5ACDC" w14:textId="77777777" w:rsidR="00C0088F" w:rsidRPr="004A1493" w:rsidRDefault="00C0088F" w:rsidP="00C0088F">
      <w:pPr>
        <w:pStyle w:val="Odstavecseseznamem"/>
        <w:numPr>
          <w:ilvl w:val="0"/>
          <w:numId w:val="2"/>
        </w:numPr>
        <w:suppressAutoHyphens/>
        <w:spacing w:before="120"/>
        <w:contextualSpacing w:val="0"/>
        <w:jc w:val="both"/>
        <w:rPr>
          <w:color w:val="000000"/>
          <w:sz w:val="22"/>
          <w:szCs w:val="22"/>
        </w:rPr>
      </w:pPr>
      <w:r w:rsidRPr="004A1493">
        <w:rPr>
          <w:color w:val="000000"/>
          <w:sz w:val="22"/>
          <w:szCs w:val="22"/>
        </w:rPr>
        <w:t>Příjemce se zavazuje při realizaci činnosti dodržovat povinnosti stanovené právními předpisy a předpisy HMP a zajistit si případná potřebná povolení orgánů státní správy a samosprávy. </w:t>
      </w:r>
    </w:p>
    <w:p w14:paraId="5CF52E84" w14:textId="77777777" w:rsidR="00C0088F" w:rsidRPr="004A1493" w:rsidRDefault="00C0088F" w:rsidP="00C0088F">
      <w:pPr>
        <w:pStyle w:val="Odstavecseseznamem"/>
        <w:numPr>
          <w:ilvl w:val="0"/>
          <w:numId w:val="2"/>
        </w:numPr>
        <w:suppressAutoHyphens/>
        <w:spacing w:before="120"/>
        <w:contextualSpacing w:val="0"/>
        <w:jc w:val="both"/>
        <w:rPr>
          <w:color w:val="000000"/>
          <w:sz w:val="22"/>
          <w:szCs w:val="22"/>
        </w:rPr>
      </w:pPr>
      <w:r w:rsidRPr="004A1493">
        <w:rPr>
          <w:color w:val="000000"/>
          <w:sz w:val="22"/>
          <w:szCs w:val="22"/>
        </w:rPr>
        <w:t>Příjemce se zavazuje na místech realizace projektu nepřekročit limit přípustné hodnoty hluku pro noční dobu od 22:00 hod. do 6:00 hod., stanovený nařízením vlády č. 272/2011 Sb., o ochraně zdraví před nepříznivými účinky hluku a vibrací, ve znění pozdějších předpisů. </w:t>
      </w:r>
    </w:p>
    <w:p w14:paraId="45065971" w14:textId="77777777" w:rsidR="00C0088F" w:rsidRPr="004A1493" w:rsidRDefault="00C0088F" w:rsidP="00C0088F">
      <w:pPr>
        <w:pStyle w:val="Odstavecseseznamem"/>
        <w:numPr>
          <w:ilvl w:val="0"/>
          <w:numId w:val="2"/>
        </w:numPr>
        <w:suppressAutoHyphens/>
        <w:spacing w:before="120"/>
        <w:contextualSpacing w:val="0"/>
        <w:jc w:val="both"/>
        <w:rPr>
          <w:color w:val="000000"/>
          <w:sz w:val="22"/>
          <w:szCs w:val="22"/>
        </w:rPr>
      </w:pPr>
      <w:r w:rsidRPr="004A1493">
        <w:rPr>
          <w:color w:val="000000" w:themeColor="text1"/>
          <w:sz w:val="22"/>
          <w:szCs w:val="22"/>
        </w:rPr>
        <w:t xml:space="preserve">Příjemce prohlašuje, že nemá žádné závazky vůči orgánům veřejné správy po lhůtě splatnosti (zejména se jedná o daňové nedoplatky a penále, nedoplatky na pojistném a na penále na veřejné zdravotní pojištění, na pojistném a penále na sociálním zabezpečení a příspěvku na státní politiku zaměstnanosti a odvody za porušení rozpočtové kázně). Příjemce současně prohlašuje, že se nenachází v úpadku či likvidaci a pokud se tak stane, bude postupovat v souladu se Smlouvou. Příjemce dále prohlašuje, že nebyl v posledních 5 letech před podáním žádosti pravomocně odsouzen pro trestný čin uvedený v příloze č. 3 ZZVZ. </w:t>
      </w:r>
    </w:p>
    <w:p w14:paraId="1FA21593" w14:textId="77777777" w:rsidR="00C0088F" w:rsidRPr="004A1493" w:rsidRDefault="00C0088F" w:rsidP="00C0088F">
      <w:pPr>
        <w:pStyle w:val="Odstavecseseznamem"/>
        <w:numPr>
          <w:ilvl w:val="0"/>
          <w:numId w:val="2"/>
        </w:numPr>
        <w:suppressAutoHyphens/>
        <w:spacing w:before="120"/>
        <w:contextualSpacing w:val="0"/>
        <w:jc w:val="both"/>
        <w:rPr>
          <w:color w:val="000000"/>
          <w:sz w:val="22"/>
          <w:szCs w:val="22"/>
        </w:rPr>
      </w:pPr>
      <w:r w:rsidRPr="004A1493">
        <w:rPr>
          <w:color w:val="000000"/>
          <w:sz w:val="22"/>
          <w:szCs w:val="22"/>
        </w:rPr>
        <w:t>Smluvní strany jsou oprávněny ukončit Smlouvu na základě dohody smluvních stran. Poskytovatel je oprávněn Smlouvu vypovědět bez uvedení důvodu, s výpovědní lhůtou 14 dní ode dne, kdy byla písemná výpověď doručena Příjemci, a to v souladu s ustanovením § 166 odst. 2 správního řádu. Nepodaří-li se výpověď prokazatelným způsobem doručit, má se za to, že je doručena 10. den od jejího odeslání. Dnem výpovědi zanikají práva a povinnosti Smluvních stran. Výpověď se nedotýká nároku na náhradu škody vzniklé porušením Smlouvy. </w:t>
      </w:r>
    </w:p>
    <w:p w14:paraId="282273DB" w14:textId="77777777" w:rsidR="00C0088F" w:rsidRPr="004A1493" w:rsidRDefault="00C0088F" w:rsidP="00C0088F">
      <w:pPr>
        <w:spacing w:before="120"/>
        <w:jc w:val="both"/>
        <w:rPr>
          <w:color w:val="000000"/>
          <w:sz w:val="22"/>
          <w:szCs w:val="22"/>
        </w:rPr>
      </w:pPr>
      <w:r w:rsidRPr="004A1493">
        <w:rPr>
          <w:color w:val="000000"/>
          <w:sz w:val="22"/>
          <w:szCs w:val="22"/>
        </w:rPr>
        <w:t> </w:t>
      </w:r>
    </w:p>
    <w:p w14:paraId="4CC36F06" w14:textId="77777777" w:rsidR="00C0088F" w:rsidRPr="004A1493" w:rsidRDefault="00C0088F" w:rsidP="00C0088F">
      <w:pPr>
        <w:spacing w:before="120"/>
        <w:jc w:val="center"/>
        <w:rPr>
          <w:color w:val="000000"/>
          <w:sz w:val="22"/>
          <w:szCs w:val="22"/>
        </w:rPr>
      </w:pPr>
      <w:r w:rsidRPr="004A1493">
        <w:rPr>
          <w:b/>
          <w:bCs/>
          <w:color w:val="000000"/>
          <w:sz w:val="22"/>
          <w:szCs w:val="22"/>
        </w:rPr>
        <w:t>VI.</w:t>
      </w:r>
    </w:p>
    <w:p w14:paraId="00872A8D" w14:textId="77777777" w:rsidR="00C0088F" w:rsidRPr="004A1493" w:rsidRDefault="00C0088F" w:rsidP="00C0088F">
      <w:pPr>
        <w:spacing w:before="120"/>
        <w:jc w:val="center"/>
        <w:rPr>
          <w:color w:val="000000"/>
          <w:sz w:val="22"/>
          <w:szCs w:val="22"/>
        </w:rPr>
      </w:pPr>
      <w:r w:rsidRPr="004A1493">
        <w:rPr>
          <w:b/>
          <w:bCs/>
          <w:color w:val="000000"/>
          <w:sz w:val="22"/>
          <w:szCs w:val="22"/>
        </w:rPr>
        <w:t>Další podmínky související s Účelem</w:t>
      </w:r>
    </w:p>
    <w:p w14:paraId="5C780FE1" w14:textId="77777777" w:rsidR="00C0088F" w:rsidRPr="004A1493" w:rsidRDefault="00C0088F" w:rsidP="00C0088F">
      <w:pPr>
        <w:spacing w:before="120"/>
        <w:jc w:val="both"/>
        <w:rPr>
          <w:color w:val="000000"/>
          <w:sz w:val="22"/>
          <w:szCs w:val="22"/>
        </w:rPr>
      </w:pPr>
      <w:r w:rsidRPr="004A1493">
        <w:rPr>
          <w:color w:val="000000"/>
          <w:sz w:val="22"/>
          <w:szCs w:val="22"/>
        </w:rPr>
        <w:t> </w:t>
      </w:r>
    </w:p>
    <w:p w14:paraId="05060E79" w14:textId="77777777" w:rsidR="00C0088F" w:rsidRPr="004A1493" w:rsidRDefault="00C0088F" w:rsidP="00C0088F">
      <w:pPr>
        <w:numPr>
          <w:ilvl w:val="0"/>
          <w:numId w:val="3"/>
        </w:numPr>
        <w:spacing w:before="120"/>
        <w:jc w:val="both"/>
        <w:rPr>
          <w:color w:val="000000"/>
          <w:sz w:val="22"/>
          <w:szCs w:val="22"/>
        </w:rPr>
      </w:pPr>
      <w:r w:rsidRPr="004A1493">
        <w:rPr>
          <w:color w:val="000000"/>
          <w:sz w:val="22"/>
          <w:szCs w:val="22"/>
        </w:rPr>
        <w:t xml:space="preserve">Příjemce je povinen při realizaci Účelu a po jeho skončení prokazatelným a vhodným způsobem prezentovat hl. m. Prahu a jeho logo jako Poskytovatele Dotace na všech propagačních a informačních materiálech, pokud existují, na pozvánkách, případně slovně prezentovat Poskytovatele v médiích a při vydávání tiskových zpráv; v případě, že Příjemce provozuje webové stránky a uvádí zde informace o Účelu, zveřejněním oficiálního loga Poskytovatele na vhodném a viditelném místě společně s uvedením informace  „Spolufinancuje“. K tomuto účelu uděluje Poskytovatel Příjemci souhlas s užíváním loga hl. m. Prahy. </w:t>
      </w:r>
    </w:p>
    <w:p w14:paraId="5465EDD4" w14:textId="77777777" w:rsidR="00C0088F" w:rsidRPr="004A1493" w:rsidRDefault="00C0088F" w:rsidP="00C0088F">
      <w:pPr>
        <w:numPr>
          <w:ilvl w:val="0"/>
          <w:numId w:val="3"/>
        </w:numPr>
        <w:spacing w:before="120"/>
        <w:jc w:val="both"/>
        <w:rPr>
          <w:color w:val="000000"/>
          <w:sz w:val="22"/>
          <w:szCs w:val="22"/>
        </w:rPr>
      </w:pPr>
      <w:r w:rsidRPr="004A1493">
        <w:rPr>
          <w:color w:val="000000"/>
          <w:sz w:val="22"/>
          <w:szCs w:val="22"/>
        </w:rPr>
        <w:t xml:space="preserve">Použití loga se řídí pravidly stanovenými v „Grafickém manuálu jednotného vizuálního stylu hl. m. Prahy", který je v náhledové podobě dostupný na </w:t>
      </w:r>
      <w:hyperlink r:id="rId8" w:history="1">
        <w:r w:rsidRPr="004A1493">
          <w:rPr>
            <w:rStyle w:val="Hypertextovodkaz"/>
            <w:sz w:val="22"/>
            <w:szCs w:val="22"/>
          </w:rPr>
          <w:t>https://praha.brandcloud.pro/</w:t>
        </w:r>
      </w:hyperlink>
      <w:r w:rsidRPr="004A1493">
        <w:rPr>
          <w:color w:val="000000"/>
          <w:sz w:val="22"/>
          <w:szCs w:val="22"/>
        </w:rPr>
        <w:t xml:space="preserve">. Pro získání loga ve formátu určeném pro grafické účely a kontrolu správnosti použití loga </w:t>
      </w:r>
      <w:r w:rsidRPr="004A1493">
        <w:rPr>
          <w:color w:val="000000"/>
          <w:sz w:val="22"/>
          <w:szCs w:val="22"/>
        </w:rPr>
        <w:lastRenderedPageBreak/>
        <w:t xml:space="preserve">k propagačním účelům Příjemce kontaktuje Poskytovatele Dotace na adrese </w:t>
      </w:r>
      <w:hyperlink r:id="rId9" w:history="1">
        <w:r w:rsidRPr="004A1493">
          <w:rPr>
            <w:rStyle w:val="Hypertextovodkaz"/>
            <w:sz w:val="22"/>
            <w:szCs w:val="22"/>
          </w:rPr>
          <w:t>grafickymanual.pri@praha.eu</w:t>
        </w:r>
      </w:hyperlink>
      <w:r w:rsidRPr="004A1493">
        <w:rPr>
          <w:color w:val="000000"/>
          <w:sz w:val="22"/>
          <w:szCs w:val="22"/>
        </w:rPr>
        <w:t>. Propagaci Poskytovatele je Příjemce povinen doložit v rámci finančního vypořádání Dotace (např. fotografie). Poskytovatel si vyhrazuje právo využít případné informace a výstupy realizovaného Účelu Dotace včetně digitální a tištěné prezentace ke své prezentaci a k případnému poskytnutí třetí osobě. Příjemce se zavazuje toto právo Poskytovatele strpět a poskytnout k jeho realizaci veškerou součinnost. V případě výroby a vydání publikace nebo jiného média v rámci realizace Účelu se Příjemce zavazuje zajistit výrobu na území České republiky.</w:t>
      </w:r>
    </w:p>
    <w:p w14:paraId="6561CEDB" w14:textId="77777777" w:rsidR="00C0088F" w:rsidRPr="004A1493" w:rsidRDefault="00C0088F" w:rsidP="00C0088F">
      <w:pPr>
        <w:numPr>
          <w:ilvl w:val="0"/>
          <w:numId w:val="3"/>
        </w:numPr>
        <w:spacing w:before="120"/>
        <w:jc w:val="both"/>
        <w:rPr>
          <w:color w:val="000000"/>
          <w:sz w:val="22"/>
          <w:szCs w:val="22"/>
        </w:rPr>
      </w:pPr>
      <w:r w:rsidRPr="004A1493">
        <w:rPr>
          <w:color w:val="000000" w:themeColor="text1"/>
          <w:sz w:val="22"/>
          <w:szCs w:val="22"/>
        </w:rPr>
        <w:t xml:space="preserve">Příjemce je povinen při realizaci Účelu dodržovat podmínky povinné publicity OP JAK, které jsou uvedeny v Pravidlech OP JAK – Obecná část dostupných na webových stránkách </w:t>
      </w:r>
      <w:hyperlink r:id="rId10" w:history="1">
        <w:r w:rsidRPr="004A1493">
          <w:rPr>
            <w:rStyle w:val="Hypertextovodkaz"/>
            <w:sz w:val="22"/>
            <w:szCs w:val="22"/>
          </w:rPr>
          <w:t>https://opjak.cz/dokumenty/pravidla-pro-zadatele-a-prijemce-obecna-cast/</w:t>
        </w:r>
      </w:hyperlink>
      <w:r w:rsidRPr="004A1493">
        <w:rPr>
          <w:color w:val="000000" w:themeColor="text1"/>
          <w:sz w:val="22"/>
          <w:szCs w:val="22"/>
        </w:rPr>
        <w:t>. Jsou zde uvedeny závazné vzory povinných nástrojů a pravidla pro použití symbolu EU a MŠMT.</w:t>
      </w:r>
    </w:p>
    <w:p w14:paraId="74499686" w14:textId="77777777" w:rsidR="00C0088F" w:rsidRPr="004A1493" w:rsidRDefault="00C0088F" w:rsidP="00C0088F">
      <w:pPr>
        <w:numPr>
          <w:ilvl w:val="0"/>
          <w:numId w:val="3"/>
        </w:numPr>
        <w:spacing w:before="120"/>
        <w:jc w:val="both"/>
        <w:rPr>
          <w:color w:val="000000"/>
          <w:sz w:val="22"/>
          <w:szCs w:val="22"/>
        </w:rPr>
      </w:pPr>
      <w:r w:rsidRPr="004A1493">
        <w:rPr>
          <w:color w:val="000000"/>
          <w:sz w:val="22"/>
          <w:szCs w:val="22"/>
        </w:rPr>
        <w:t>Dotace je ve smyslu zákona č. 320/2001 Sb., o finanční kontrole ve veřejné správě a o změně některých zákonů (zákon o finanční kontrole), ve znění pozdějších předpisů, veřejnou finanční podporou a vztahují se na ni veškerá ustanovení tohoto zákona. Příjemce je povinen umožnit Poskytovateli provádění průběžné a následné veřejnosprávní kontroly nakládání s Dotací v souladu se zákonem o finanční kontrole, a to po dobu realizace Účelu a dále po dobu 10 let po dosažení Účelu. Příjemce je povinen na požádání předložit Poskytovateli veškeré účetní a ostatní potřebné doklady, vztahující se k Dotaci a poskytnou součinnost při výkonu kontrolní činnosti. Příjemce je povinen zajistit, aby osoby povinné spolupůsobit při kontrole (zejména dodavatelé zboží a služeb pro Příjemce) umožnily Poskytovateli prověřit jejich účetnictví a účetní doklady ve vazbě na Účel Dotace. </w:t>
      </w:r>
    </w:p>
    <w:p w14:paraId="46209342" w14:textId="77777777" w:rsidR="00C0088F" w:rsidRPr="004A1493" w:rsidRDefault="00C0088F" w:rsidP="00C0088F">
      <w:pPr>
        <w:numPr>
          <w:ilvl w:val="0"/>
          <w:numId w:val="4"/>
        </w:numPr>
        <w:spacing w:before="120"/>
        <w:jc w:val="both"/>
        <w:rPr>
          <w:color w:val="000000"/>
          <w:sz w:val="22"/>
          <w:szCs w:val="22"/>
        </w:rPr>
      </w:pPr>
      <w:r w:rsidRPr="004A1493">
        <w:rPr>
          <w:color w:val="000000"/>
          <w:sz w:val="22"/>
          <w:szCs w:val="22"/>
        </w:rPr>
        <w:t xml:space="preserve">Příjemce je povinen bez zbytečných odkladů, tj. nejpozději do 7 kalendářních dnů, oznámit Poskytovateli písemně na jeho adresu nebo e-mailem na kontakty uvedené v Programu jakoukoliv změnu identifikačních či kontaktních údajů uvedených ve Smlouvě, Žádosti nebo veřejném rejstříku. </w:t>
      </w:r>
    </w:p>
    <w:p w14:paraId="6ABE1920" w14:textId="77777777" w:rsidR="00C0088F" w:rsidRPr="004A1493" w:rsidRDefault="00C0088F" w:rsidP="00C0088F">
      <w:pPr>
        <w:numPr>
          <w:ilvl w:val="0"/>
          <w:numId w:val="4"/>
        </w:numPr>
        <w:spacing w:before="120"/>
        <w:jc w:val="both"/>
        <w:rPr>
          <w:color w:val="000000"/>
          <w:sz w:val="22"/>
          <w:szCs w:val="22"/>
        </w:rPr>
      </w:pPr>
      <w:r w:rsidRPr="004A1493">
        <w:rPr>
          <w:color w:val="000000"/>
          <w:sz w:val="22"/>
          <w:szCs w:val="22"/>
        </w:rPr>
        <w:t>Příjemce se zavazuje po dobu 10 let od dosažení Účelu archivovat Žádosti o poskytnutí Dotace včetně povinných příloh, tuto Smlouvu, originály dokladů prokazujících čerpání Dotace a závěrečné finanční vypořádání Dotace. Doklady jako prvek průkaznosti musí zaručovat trvanlivost dokladu (musí být čitelné po celou dobu archivace). Ustanovením tohoto odstavce nejsou dotčeny jiné povinnosti Příjemce stanovené touto smlouvou nebo obecně závaznými právními předpisy v oblasti účetnictví. </w:t>
      </w:r>
    </w:p>
    <w:p w14:paraId="19D6CBC6" w14:textId="77777777" w:rsidR="00C0088F" w:rsidRPr="004A1493" w:rsidRDefault="00C0088F" w:rsidP="00C0088F">
      <w:pPr>
        <w:pStyle w:val="Odstavecseseznamem"/>
        <w:numPr>
          <w:ilvl w:val="0"/>
          <w:numId w:val="4"/>
        </w:numPr>
        <w:suppressAutoHyphens/>
        <w:spacing w:before="120"/>
        <w:contextualSpacing w:val="0"/>
        <w:jc w:val="both"/>
        <w:rPr>
          <w:color w:val="000000"/>
          <w:sz w:val="22"/>
          <w:szCs w:val="22"/>
        </w:rPr>
      </w:pPr>
      <w:r w:rsidRPr="004A1493">
        <w:rPr>
          <w:color w:val="000000"/>
          <w:sz w:val="22"/>
          <w:szCs w:val="22"/>
        </w:rPr>
        <w:t>Příjemce se zavazuje oznámit Poskytovateli každou sankci jemu uloženou příslušným orgánem (správním, soudním) za porušení povinností při realizaci Účelu dle Článku II. odst. 1 této smlouvy, a to do nejpozději 15 dnů po nabytí právní moci rozhodnutí o udělení sankce. </w:t>
      </w:r>
    </w:p>
    <w:p w14:paraId="60543B07" w14:textId="77777777" w:rsidR="00C0088F" w:rsidRPr="004A1493" w:rsidRDefault="00C0088F" w:rsidP="00C0088F">
      <w:pPr>
        <w:pStyle w:val="Odstavecseseznamem"/>
        <w:numPr>
          <w:ilvl w:val="0"/>
          <w:numId w:val="4"/>
        </w:numPr>
        <w:suppressAutoHyphens/>
        <w:spacing w:before="120"/>
        <w:contextualSpacing w:val="0"/>
        <w:jc w:val="both"/>
        <w:rPr>
          <w:color w:val="000000"/>
          <w:sz w:val="22"/>
          <w:szCs w:val="22"/>
        </w:rPr>
      </w:pPr>
      <w:r w:rsidRPr="004A1493">
        <w:rPr>
          <w:color w:val="000000"/>
          <w:sz w:val="22"/>
          <w:szCs w:val="22"/>
        </w:rPr>
        <w:t xml:space="preserve">Příjemce je povinen poskytnout součinnost Poskytovateli i po dosažení Účelu, a to zejména při provádění následné evaluace či kontroly Programu, případně i v dalších nezbytných úkonech. </w:t>
      </w:r>
    </w:p>
    <w:p w14:paraId="1A695C0E" w14:textId="77777777" w:rsidR="00C0088F" w:rsidRPr="004A1493" w:rsidRDefault="00C0088F" w:rsidP="00C0088F">
      <w:pPr>
        <w:spacing w:before="120"/>
        <w:jc w:val="both"/>
        <w:rPr>
          <w:color w:val="000000"/>
          <w:sz w:val="22"/>
          <w:szCs w:val="22"/>
        </w:rPr>
      </w:pPr>
    </w:p>
    <w:p w14:paraId="56FD36C3" w14:textId="77777777" w:rsidR="00C0088F" w:rsidRPr="004A1493" w:rsidRDefault="00C0088F" w:rsidP="00C0088F">
      <w:pPr>
        <w:spacing w:before="120"/>
        <w:jc w:val="center"/>
        <w:rPr>
          <w:color w:val="000000"/>
          <w:sz w:val="22"/>
          <w:szCs w:val="22"/>
        </w:rPr>
      </w:pPr>
      <w:r w:rsidRPr="004A1493">
        <w:rPr>
          <w:b/>
          <w:bCs/>
          <w:color w:val="000000"/>
          <w:sz w:val="22"/>
          <w:szCs w:val="22"/>
        </w:rPr>
        <w:t>VII.</w:t>
      </w:r>
    </w:p>
    <w:p w14:paraId="4B2AC116" w14:textId="77777777" w:rsidR="00C0088F" w:rsidRPr="004A1493" w:rsidRDefault="00C0088F" w:rsidP="00C0088F">
      <w:pPr>
        <w:spacing w:before="120"/>
        <w:jc w:val="center"/>
        <w:rPr>
          <w:color w:val="000000"/>
          <w:sz w:val="22"/>
          <w:szCs w:val="22"/>
        </w:rPr>
      </w:pPr>
      <w:r w:rsidRPr="004A1493">
        <w:rPr>
          <w:b/>
          <w:bCs/>
          <w:color w:val="000000"/>
          <w:sz w:val="22"/>
          <w:szCs w:val="22"/>
        </w:rPr>
        <w:t>Finanční vypořádání Dotace</w:t>
      </w:r>
    </w:p>
    <w:p w14:paraId="423E5890" w14:textId="77777777" w:rsidR="00C0088F" w:rsidRPr="004A1493" w:rsidRDefault="00C0088F" w:rsidP="00C0088F">
      <w:pPr>
        <w:spacing w:before="120"/>
        <w:jc w:val="center"/>
        <w:rPr>
          <w:color w:val="000000"/>
          <w:sz w:val="22"/>
          <w:szCs w:val="22"/>
        </w:rPr>
      </w:pPr>
    </w:p>
    <w:p w14:paraId="6CD8518B" w14:textId="77777777" w:rsidR="00C0088F" w:rsidRPr="004A1493" w:rsidRDefault="00C0088F" w:rsidP="00C0088F">
      <w:pPr>
        <w:numPr>
          <w:ilvl w:val="0"/>
          <w:numId w:val="5"/>
        </w:numPr>
        <w:spacing w:before="120"/>
        <w:jc w:val="both"/>
        <w:rPr>
          <w:color w:val="000000"/>
          <w:sz w:val="22"/>
          <w:szCs w:val="22"/>
        </w:rPr>
      </w:pPr>
      <w:r w:rsidRPr="004A1493">
        <w:rPr>
          <w:color w:val="000000"/>
          <w:sz w:val="22"/>
          <w:szCs w:val="22"/>
        </w:rPr>
        <w:t xml:space="preserve">Příjemce je povinen doručit Poskytovateli finanční vypořádání Dotace (dále jen „vyúčtování“) na formuláři „Finanční vypořádání dotace“, včetně požadovaných příloh, ve lhůtě nejpozději do 31. 1. 2026. Formulář finančního vypořádání Dotace je k dispozici v Příloze č. 6 Programu nebo ke stažení na </w:t>
      </w:r>
      <w:hyperlink r:id="rId11" w:history="1">
        <w:r w:rsidRPr="004A1493">
          <w:rPr>
            <w:rStyle w:val="Hypertextovodkaz"/>
            <w:sz w:val="22"/>
            <w:szCs w:val="22"/>
          </w:rPr>
          <w:t>https://www.praha.eu/web/praha/vzdelavani-evropske-dotace</w:t>
        </w:r>
      </w:hyperlink>
      <w:r w:rsidRPr="004A1493">
        <w:rPr>
          <w:color w:val="000000"/>
          <w:sz w:val="22"/>
          <w:szCs w:val="22"/>
        </w:rPr>
        <w:t xml:space="preserve">. Vyúčtování bude předloženo buď v tištěné podobě na podatelně Magistrátu HMP nebo odesláno prostřednictvím datové schránky registrované na Žadatele. ID datové schránky je 48ia97 anebo </w:t>
      </w:r>
    </w:p>
    <w:p w14:paraId="41BD3B68" w14:textId="77777777" w:rsidR="00C0088F" w:rsidRPr="004A1493" w:rsidRDefault="00C0088F" w:rsidP="00C0088F">
      <w:pPr>
        <w:pStyle w:val="Odstavecseseznamem"/>
        <w:pBdr>
          <w:top w:val="nil"/>
          <w:left w:val="nil"/>
          <w:bottom w:val="nil"/>
          <w:right w:val="nil"/>
          <w:between w:val="nil"/>
        </w:pBdr>
        <w:spacing w:line="276" w:lineRule="auto"/>
        <w:ind w:right="107"/>
        <w:jc w:val="both"/>
      </w:pPr>
      <w:r w:rsidRPr="004A1493">
        <w:rPr>
          <w:bCs/>
          <w:color w:val="000000"/>
          <w:sz w:val="22"/>
          <w:szCs w:val="22"/>
        </w:rPr>
        <w:t>e-mailem prostřednictvím e-podatelny</w:t>
      </w:r>
      <w:r w:rsidRPr="004A1493">
        <w:rPr>
          <w:color w:val="000000"/>
          <w:sz w:val="22"/>
          <w:szCs w:val="22"/>
        </w:rPr>
        <w:t xml:space="preserve"> na adresu </w:t>
      </w:r>
      <w:hyperlink r:id="rId12">
        <w:r w:rsidRPr="004A1493">
          <w:rPr>
            <w:color w:val="0000FF"/>
            <w:sz w:val="22"/>
            <w:szCs w:val="22"/>
            <w:u w:val="single"/>
          </w:rPr>
          <w:t>posta@praha.eu</w:t>
        </w:r>
      </w:hyperlink>
      <w:r w:rsidRPr="004A1493">
        <w:rPr>
          <w:color w:val="000000"/>
          <w:sz w:val="22"/>
          <w:szCs w:val="22"/>
        </w:rPr>
        <w:t xml:space="preserve">. V předmětu </w:t>
      </w:r>
      <w:r w:rsidRPr="004A1493">
        <w:rPr>
          <w:sz w:val="22"/>
          <w:szCs w:val="22"/>
        </w:rPr>
        <w:t xml:space="preserve">emailu bude uvedeno </w:t>
      </w:r>
      <w:r w:rsidRPr="004A1493">
        <w:rPr>
          <w:i/>
          <w:iCs/>
          <w:sz w:val="22"/>
          <w:szCs w:val="22"/>
        </w:rPr>
        <w:t xml:space="preserve">„PRI - Vyúčtování dotace v rámci Akceleračního programu pro oblast herního vývoje“. </w:t>
      </w:r>
      <w:r w:rsidRPr="004A1493">
        <w:rPr>
          <w:i/>
          <w:iCs/>
          <w:color w:val="000000"/>
          <w:sz w:val="22"/>
          <w:szCs w:val="22"/>
        </w:rPr>
        <w:t xml:space="preserve"> </w:t>
      </w:r>
      <w:r w:rsidRPr="004A1493">
        <w:rPr>
          <w:color w:val="000000"/>
          <w:sz w:val="22"/>
          <w:szCs w:val="22"/>
        </w:rPr>
        <w:t>Tuto variantu lze využít pouze v případě, že Žadatel disponuje zaručeným elektronickým podpisem, kterým podepíše Žádost ve formátu PDF.</w:t>
      </w:r>
    </w:p>
    <w:p w14:paraId="139CCCA4" w14:textId="77777777" w:rsidR="00C0088F" w:rsidRPr="004A1493" w:rsidRDefault="00C0088F" w:rsidP="00C0088F">
      <w:pPr>
        <w:numPr>
          <w:ilvl w:val="0"/>
          <w:numId w:val="6"/>
        </w:numPr>
        <w:spacing w:before="120"/>
        <w:jc w:val="both"/>
        <w:rPr>
          <w:color w:val="000000"/>
          <w:sz w:val="22"/>
          <w:szCs w:val="22"/>
        </w:rPr>
      </w:pPr>
      <w:r w:rsidRPr="004A1493">
        <w:rPr>
          <w:color w:val="000000"/>
          <w:sz w:val="22"/>
          <w:szCs w:val="22"/>
        </w:rPr>
        <w:t>Příjemce je povinen vrátit nevyčerpanou část Dotace ve lhůtě nejpozději do 31. 1. 2026 na číslo účtu Poskytovatele uvedené v záhlaví této Smlouvy a uvést jako variabilní symbol číslo Smlouvy.</w:t>
      </w:r>
    </w:p>
    <w:p w14:paraId="01636A7A" w14:textId="77777777" w:rsidR="00C0088F" w:rsidRPr="004A1493" w:rsidRDefault="00C0088F" w:rsidP="00C0088F">
      <w:pPr>
        <w:spacing w:before="120"/>
        <w:jc w:val="both"/>
        <w:rPr>
          <w:color w:val="000000"/>
          <w:sz w:val="22"/>
          <w:szCs w:val="22"/>
        </w:rPr>
      </w:pPr>
      <w:r w:rsidRPr="004A1493">
        <w:rPr>
          <w:color w:val="000000"/>
          <w:sz w:val="22"/>
          <w:szCs w:val="22"/>
        </w:rPr>
        <w:t> </w:t>
      </w:r>
    </w:p>
    <w:p w14:paraId="5DF874F4" w14:textId="77777777" w:rsidR="00C0088F" w:rsidRPr="004A1493" w:rsidRDefault="00C0088F" w:rsidP="00C0088F">
      <w:pPr>
        <w:spacing w:before="120"/>
        <w:jc w:val="center"/>
        <w:rPr>
          <w:color w:val="000000"/>
          <w:sz w:val="22"/>
          <w:szCs w:val="22"/>
        </w:rPr>
      </w:pPr>
      <w:r w:rsidRPr="004A1493">
        <w:rPr>
          <w:b/>
          <w:bCs/>
          <w:color w:val="000000"/>
          <w:sz w:val="22"/>
          <w:szCs w:val="22"/>
        </w:rPr>
        <w:t>VIII.</w:t>
      </w:r>
    </w:p>
    <w:p w14:paraId="1FAB9C0C" w14:textId="77777777" w:rsidR="00C0088F" w:rsidRPr="004A1493" w:rsidRDefault="00C0088F" w:rsidP="00C0088F">
      <w:pPr>
        <w:spacing w:before="120"/>
        <w:jc w:val="center"/>
        <w:rPr>
          <w:color w:val="000000"/>
          <w:sz w:val="22"/>
          <w:szCs w:val="22"/>
        </w:rPr>
      </w:pPr>
      <w:r w:rsidRPr="004A1493">
        <w:rPr>
          <w:b/>
          <w:bCs/>
          <w:color w:val="000000" w:themeColor="text1"/>
          <w:sz w:val="22"/>
          <w:szCs w:val="22"/>
        </w:rPr>
        <w:t>Sankční ustanovení</w:t>
      </w:r>
    </w:p>
    <w:p w14:paraId="158E2A6A" w14:textId="77777777" w:rsidR="00C0088F" w:rsidRPr="004A1493" w:rsidRDefault="00C0088F" w:rsidP="00C0088F">
      <w:pPr>
        <w:spacing w:before="120"/>
        <w:jc w:val="both"/>
        <w:rPr>
          <w:color w:val="000000"/>
          <w:sz w:val="22"/>
          <w:szCs w:val="22"/>
        </w:rPr>
      </w:pPr>
      <w:r w:rsidRPr="004A1493">
        <w:rPr>
          <w:color w:val="000000"/>
          <w:sz w:val="22"/>
          <w:szCs w:val="22"/>
        </w:rPr>
        <w:t> </w:t>
      </w:r>
    </w:p>
    <w:p w14:paraId="09FDE4E0" w14:textId="77777777" w:rsidR="00C0088F" w:rsidRPr="004A1493" w:rsidRDefault="00C0088F" w:rsidP="00C0088F">
      <w:pPr>
        <w:numPr>
          <w:ilvl w:val="0"/>
          <w:numId w:val="7"/>
        </w:numPr>
        <w:spacing w:before="120"/>
        <w:jc w:val="both"/>
        <w:rPr>
          <w:color w:val="000000"/>
          <w:sz w:val="22"/>
          <w:szCs w:val="22"/>
        </w:rPr>
      </w:pPr>
      <w:r w:rsidRPr="004A1493">
        <w:rPr>
          <w:color w:val="000000"/>
          <w:sz w:val="22"/>
          <w:szCs w:val="22"/>
        </w:rPr>
        <w:t>Pokud Příjemce poruší povinnost stanovenou právním předpisem, touto Smlouvou nebo přímo použitelným předpisem EU a neoprávněně použije či zadrží poskytnuté finanční prostředky, je povinen provést odvod za porušení rozpočtové kázně, příp. části v rozsahu tohoto porušení, do rozpočtu Poskytovatele dle § 22 Zákona o rozpočtových pravidlech územních rozpočtů. V případě prodlení s jeho vrácením je Příjemce povinen uhradit Poskytovateli penále dle tohoto zákona. </w:t>
      </w:r>
    </w:p>
    <w:p w14:paraId="6C4219F9" w14:textId="77777777" w:rsidR="00C0088F" w:rsidRPr="004A1493" w:rsidRDefault="00C0088F" w:rsidP="00C0088F">
      <w:pPr>
        <w:numPr>
          <w:ilvl w:val="0"/>
          <w:numId w:val="8"/>
        </w:numPr>
        <w:spacing w:before="120"/>
        <w:jc w:val="both"/>
        <w:rPr>
          <w:color w:val="000000"/>
          <w:sz w:val="22"/>
          <w:szCs w:val="22"/>
        </w:rPr>
      </w:pPr>
      <w:r w:rsidRPr="004A1493">
        <w:rPr>
          <w:color w:val="000000"/>
          <w:sz w:val="22"/>
          <w:szCs w:val="22"/>
        </w:rPr>
        <w:t>Poskytovatel vymezuje v souladu s </w:t>
      </w:r>
      <w:proofErr w:type="spellStart"/>
      <w:r w:rsidRPr="004A1493">
        <w:rPr>
          <w:color w:val="000000"/>
          <w:sz w:val="22"/>
          <w:szCs w:val="22"/>
        </w:rPr>
        <w:t>ust</w:t>
      </w:r>
      <w:proofErr w:type="spellEnd"/>
      <w:r w:rsidRPr="004A1493">
        <w:rPr>
          <w:color w:val="000000"/>
          <w:sz w:val="22"/>
          <w:szCs w:val="22"/>
        </w:rPr>
        <w:t>. § 10a odst. 6 Zákona o rozpočtových pravidlech podmínky, jejichž porušení Příjemcem považuje za méně závažné. Výše nižších odvodů je stanovena takto: </w:t>
      </w:r>
    </w:p>
    <w:p w14:paraId="3EEB52ED" w14:textId="77777777" w:rsidR="00C0088F" w:rsidRPr="004A1493" w:rsidRDefault="00C0088F" w:rsidP="00C0088F">
      <w:pPr>
        <w:numPr>
          <w:ilvl w:val="0"/>
          <w:numId w:val="9"/>
        </w:numPr>
        <w:tabs>
          <w:tab w:val="clear" w:pos="720"/>
          <w:tab w:val="num" w:pos="1080"/>
        </w:tabs>
        <w:spacing w:before="120"/>
        <w:ind w:left="1080"/>
        <w:jc w:val="both"/>
        <w:rPr>
          <w:color w:val="000000"/>
          <w:sz w:val="22"/>
          <w:szCs w:val="22"/>
        </w:rPr>
      </w:pPr>
      <w:r w:rsidRPr="004A1493">
        <w:rPr>
          <w:color w:val="000000"/>
          <w:sz w:val="22"/>
          <w:szCs w:val="22"/>
        </w:rPr>
        <w:t>nepředání Finančního vypořádání Dotace dle čl. VII. odst. 1 této Smlouvy ve stanovené lhůtě odvod ve výši 0,1 % z celkové výše Dotace za každý započatý den prodlení s předáním dokumentu až do doby jeho doručení sjednaným způsobem, </w:t>
      </w:r>
    </w:p>
    <w:p w14:paraId="64D93679" w14:textId="77777777" w:rsidR="00C0088F" w:rsidRPr="004A1493" w:rsidRDefault="00C0088F" w:rsidP="00C0088F">
      <w:pPr>
        <w:numPr>
          <w:ilvl w:val="0"/>
          <w:numId w:val="10"/>
        </w:numPr>
        <w:tabs>
          <w:tab w:val="clear" w:pos="720"/>
          <w:tab w:val="num" w:pos="1080"/>
        </w:tabs>
        <w:spacing w:before="120"/>
        <w:ind w:left="1080"/>
        <w:jc w:val="both"/>
        <w:rPr>
          <w:color w:val="000000"/>
          <w:sz w:val="22"/>
          <w:szCs w:val="22"/>
        </w:rPr>
      </w:pPr>
      <w:r w:rsidRPr="004A1493">
        <w:rPr>
          <w:color w:val="000000" w:themeColor="text1"/>
          <w:sz w:val="22"/>
          <w:szCs w:val="22"/>
        </w:rPr>
        <w:t>finanční vypořádání Dotace nebude předáno řádně, nebude obsahovat požadované náležitosti nebo bude obsahovat nesrovnalosti odvod ve výši 10 % z celkové výše Dotace, </w:t>
      </w:r>
    </w:p>
    <w:p w14:paraId="7C0B9AC4" w14:textId="77777777" w:rsidR="00C0088F" w:rsidRPr="004A1493" w:rsidRDefault="00C0088F" w:rsidP="00C0088F">
      <w:pPr>
        <w:numPr>
          <w:ilvl w:val="0"/>
          <w:numId w:val="11"/>
        </w:numPr>
        <w:tabs>
          <w:tab w:val="clear" w:pos="720"/>
          <w:tab w:val="num" w:pos="1080"/>
        </w:tabs>
        <w:spacing w:before="120"/>
        <w:ind w:left="1080"/>
        <w:jc w:val="both"/>
        <w:rPr>
          <w:color w:val="000000"/>
          <w:sz w:val="22"/>
          <w:szCs w:val="22"/>
        </w:rPr>
      </w:pPr>
      <w:r w:rsidRPr="004A1493">
        <w:rPr>
          <w:color w:val="000000"/>
          <w:sz w:val="22"/>
          <w:szCs w:val="22"/>
        </w:rPr>
        <w:t>za nedodržení povinnosti prezentace Poskytovatele a OP JAK v plném rozsahu dle Článku VI. odst.1, 2 a 3 Smlouvy odvod ve výši 10 % z celkové výše Dotace, </w:t>
      </w:r>
    </w:p>
    <w:p w14:paraId="643D5719" w14:textId="77777777" w:rsidR="00C0088F" w:rsidRPr="004A1493" w:rsidRDefault="00C0088F" w:rsidP="00C0088F">
      <w:pPr>
        <w:numPr>
          <w:ilvl w:val="0"/>
          <w:numId w:val="12"/>
        </w:numPr>
        <w:tabs>
          <w:tab w:val="clear" w:pos="720"/>
          <w:tab w:val="num" w:pos="1080"/>
        </w:tabs>
        <w:spacing w:before="120"/>
        <w:ind w:left="1080"/>
        <w:jc w:val="both"/>
        <w:rPr>
          <w:color w:val="000000"/>
          <w:sz w:val="22"/>
          <w:szCs w:val="22"/>
        </w:rPr>
      </w:pPr>
      <w:r w:rsidRPr="004A1493">
        <w:rPr>
          <w:color w:val="000000"/>
          <w:sz w:val="22"/>
          <w:szCs w:val="22"/>
        </w:rPr>
        <w:t>za využití nelegálních forem reklamy odvod ve výši 2 % z celkové výše Dotace, </w:t>
      </w:r>
    </w:p>
    <w:p w14:paraId="20434AB4" w14:textId="77777777" w:rsidR="00C0088F" w:rsidRPr="004A1493" w:rsidRDefault="00C0088F" w:rsidP="00C0088F">
      <w:pPr>
        <w:numPr>
          <w:ilvl w:val="0"/>
          <w:numId w:val="13"/>
        </w:numPr>
        <w:tabs>
          <w:tab w:val="clear" w:pos="720"/>
          <w:tab w:val="num" w:pos="1080"/>
        </w:tabs>
        <w:spacing w:before="120"/>
        <w:ind w:left="1080"/>
        <w:jc w:val="both"/>
        <w:rPr>
          <w:color w:val="000000"/>
          <w:sz w:val="22"/>
          <w:szCs w:val="22"/>
        </w:rPr>
      </w:pPr>
      <w:r w:rsidRPr="004A1493">
        <w:rPr>
          <w:color w:val="000000"/>
          <w:sz w:val="22"/>
          <w:szCs w:val="22"/>
        </w:rPr>
        <w:t>neoznámení změny identifikačních údajů Příjemcem ve výši 10 % z celkové výše Dotace, </w:t>
      </w:r>
    </w:p>
    <w:p w14:paraId="50958F17" w14:textId="77777777" w:rsidR="00C0088F" w:rsidRPr="004A1493" w:rsidRDefault="00C0088F" w:rsidP="00C0088F">
      <w:pPr>
        <w:numPr>
          <w:ilvl w:val="0"/>
          <w:numId w:val="14"/>
        </w:numPr>
        <w:tabs>
          <w:tab w:val="clear" w:pos="720"/>
          <w:tab w:val="num" w:pos="1080"/>
        </w:tabs>
        <w:spacing w:before="120"/>
        <w:ind w:left="1080"/>
        <w:jc w:val="both"/>
        <w:rPr>
          <w:color w:val="000000"/>
          <w:sz w:val="22"/>
          <w:szCs w:val="22"/>
        </w:rPr>
      </w:pPr>
      <w:r w:rsidRPr="004A1493">
        <w:rPr>
          <w:color w:val="000000" w:themeColor="text1"/>
          <w:sz w:val="22"/>
          <w:szCs w:val="22"/>
        </w:rPr>
        <w:t>neoznámení udělení sankce příslušným orgánem dle Článku VI. odst. 7 této Smlouvy, odvod ve výši 10 % z celkové výše Dotace, </w:t>
      </w:r>
    </w:p>
    <w:p w14:paraId="149F4BEF" w14:textId="77777777" w:rsidR="00C0088F" w:rsidRPr="004A1493" w:rsidRDefault="00C0088F" w:rsidP="00C0088F">
      <w:pPr>
        <w:numPr>
          <w:ilvl w:val="0"/>
          <w:numId w:val="15"/>
        </w:numPr>
        <w:tabs>
          <w:tab w:val="clear" w:pos="720"/>
          <w:tab w:val="num" w:pos="1080"/>
        </w:tabs>
        <w:spacing w:before="120"/>
        <w:ind w:left="1080"/>
        <w:jc w:val="both"/>
        <w:rPr>
          <w:color w:val="000000"/>
          <w:sz w:val="22"/>
          <w:szCs w:val="22"/>
        </w:rPr>
      </w:pPr>
      <w:r w:rsidRPr="004A1493">
        <w:rPr>
          <w:color w:val="000000"/>
          <w:sz w:val="22"/>
          <w:szCs w:val="22"/>
        </w:rPr>
        <w:t>uvedení nepravdivých skutečností v žádosti o poskytnutí dotace, které byly rozhodující pro poskytnutí Dotace nebo stanovení její výše, předložení nepravdivých dokladů či čestných prohlášení, které byly součástí žádosti o poskytnutí dotace, odvod až do výše 95 % z celkové výše Dotace, </w:t>
      </w:r>
    </w:p>
    <w:p w14:paraId="3E30DCDA" w14:textId="77777777" w:rsidR="00C0088F" w:rsidRPr="004A1493" w:rsidRDefault="00C0088F" w:rsidP="00C0088F">
      <w:pPr>
        <w:numPr>
          <w:ilvl w:val="0"/>
          <w:numId w:val="16"/>
        </w:numPr>
        <w:tabs>
          <w:tab w:val="clear" w:pos="720"/>
          <w:tab w:val="num" w:pos="1080"/>
        </w:tabs>
        <w:spacing w:before="120"/>
        <w:ind w:left="1080"/>
        <w:jc w:val="both"/>
        <w:rPr>
          <w:color w:val="000000"/>
          <w:sz w:val="22"/>
          <w:szCs w:val="22"/>
        </w:rPr>
      </w:pPr>
      <w:r w:rsidRPr="004A1493">
        <w:rPr>
          <w:color w:val="000000"/>
          <w:sz w:val="22"/>
          <w:szCs w:val="22"/>
        </w:rPr>
        <w:t>bude-li vydáno pravomocné rozhodnutí soudu či přestupkového orgánu konstatující, že při realizaci účelu dotace byl spáchán nenávistně motivovaný trestný čin či přestupek, za jehož spáchání je odpovědný Příjemce či člen akcelerovaného týmu, může být uložen odvod až ve výši 95 % výše Dotace. </w:t>
      </w:r>
    </w:p>
    <w:p w14:paraId="7395668B" w14:textId="77777777" w:rsidR="00C0088F" w:rsidRPr="004A1493" w:rsidRDefault="00C0088F" w:rsidP="00C0088F">
      <w:pPr>
        <w:spacing w:before="120"/>
        <w:jc w:val="both"/>
        <w:rPr>
          <w:color w:val="000000"/>
          <w:sz w:val="22"/>
          <w:szCs w:val="22"/>
        </w:rPr>
      </w:pPr>
    </w:p>
    <w:p w14:paraId="5B7070DA" w14:textId="6178B2EC" w:rsidR="00C0088F" w:rsidRPr="004A1493" w:rsidRDefault="007547A5" w:rsidP="007547A5">
      <w:pPr>
        <w:spacing w:after="160" w:line="259" w:lineRule="auto"/>
        <w:rPr>
          <w:color w:val="000000"/>
          <w:sz w:val="22"/>
          <w:szCs w:val="22"/>
        </w:rPr>
      </w:pPr>
      <w:r w:rsidRPr="004A1493">
        <w:rPr>
          <w:color w:val="000000"/>
          <w:sz w:val="22"/>
          <w:szCs w:val="22"/>
        </w:rPr>
        <w:br w:type="page"/>
      </w:r>
    </w:p>
    <w:p w14:paraId="1ED30966" w14:textId="77777777" w:rsidR="00C0088F" w:rsidRPr="004A1493" w:rsidRDefault="00C0088F" w:rsidP="00C0088F">
      <w:pPr>
        <w:spacing w:before="120"/>
        <w:jc w:val="both"/>
        <w:rPr>
          <w:color w:val="000000"/>
          <w:sz w:val="22"/>
          <w:szCs w:val="22"/>
        </w:rPr>
      </w:pPr>
      <w:r w:rsidRPr="004A1493">
        <w:rPr>
          <w:color w:val="000000"/>
          <w:sz w:val="22"/>
          <w:szCs w:val="22"/>
        </w:rPr>
        <w:t> </w:t>
      </w:r>
    </w:p>
    <w:p w14:paraId="211C5C22" w14:textId="77777777" w:rsidR="00C0088F" w:rsidRPr="004A1493" w:rsidRDefault="00C0088F" w:rsidP="00C0088F">
      <w:pPr>
        <w:spacing w:before="120"/>
        <w:jc w:val="center"/>
        <w:rPr>
          <w:color w:val="000000"/>
          <w:sz w:val="22"/>
          <w:szCs w:val="22"/>
        </w:rPr>
      </w:pPr>
      <w:r w:rsidRPr="004A1493">
        <w:rPr>
          <w:b/>
          <w:bCs/>
          <w:color w:val="000000"/>
          <w:sz w:val="22"/>
          <w:szCs w:val="22"/>
        </w:rPr>
        <w:t>IX.</w:t>
      </w:r>
    </w:p>
    <w:p w14:paraId="5807422B" w14:textId="77777777" w:rsidR="00C0088F" w:rsidRPr="004A1493" w:rsidRDefault="00C0088F" w:rsidP="00C0088F">
      <w:pPr>
        <w:spacing w:before="120"/>
        <w:jc w:val="center"/>
        <w:rPr>
          <w:color w:val="000000"/>
          <w:sz w:val="22"/>
          <w:szCs w:val="22"/>
        </w:rPr>
      </w:pPr>
      <w:r w:rsidRPr="004A1493">
        <w:rPr>
          <w:b/>
          <w:bCs/>
          <w:color w:val="000000"/>
          <w:sz w:val="22"/>
          <w:szCs w:val="22"/>
        </w:rPr>
        <w:t>Závěrečná ustanovení</w:t>
      </w:r>
    </w:p>
    <w:p w14:paraId="29823FD8" w14:textId="77777777" w:rsidR="00C0088F" w:rsidRPr="004A1493" w:rsidRDefault="00C0088F" w:rsidP="00C0088F">
      <w:pPr>
        <w:spacing w:before="120"/>
        <w:jc w:val="both"/>
        <w:rPr>
          <w:color w:val="000000"/>
          <w:sz w:val="22"/>
          <w:szCs w:val="22"/>
        </w:rPr>
      </w:pPr>
      <w:r w:rsidRPr="004A1493">
        <w:rPr>
          <w:color w:val="000000"/>
          <w:sz w:val="22"/>
          <w:szCs w:val="22"/>
        </w:rPr>
        <w:t> </w:t>
      </w:r>
    </w:p>
    <w:p w14:paraId="04D7FB3E" w14:textId="77777777" w:rsidR="00C0088F" w:rsidRPr="004A1493" w:rsidRDefault="00C0088F" w:rsidP="00C0088F">
      <w:pPr>
        <w:numPr>
          <w:ilvl w:val="0"/>
          <w:numId w:val="17"/>
        </w:numPr>
        <w:spacing w:before="120"/>
        <w:jc w:val="both"/>
        <w:rPr>
          <w:color w:val="000000"/>
          <w:sz w:val="22"/>
          <w:szCs w:val="22"/>
        </w:rPr>
      </w:pPr>
      <w:r w:rsidRPr="004A1493">
        <w:rPr>
          <w:color w:val="000000"/>
          <w:sz w:val="22"/>
          <w:szCs w:val="22"/>
        </w:rPr>
        <w:t>Vzájemná práva a povinnosti Smluvních stran neupravené touto Smlouvou se řídí Zákonem o rozpočtových pravidlech, Správním řádem, Občanským zákoníkem, Zákonem o daních z příjmů a ostatními právními předpisy. </w:t>
      </w:r>
    </w:p>
    <w:p w14:paraId="6CCE2EB8" w14:textId="77777777" w:rsidR="00C0088F" w:rsidRPr="004A1493" w:rsidRDefault="00C0088F" w:rsidP="00C0088F">
      <w:pPr>
        <w:numPr>
          <w:ilvl w:val="0"/>
          <w:numId w:val="18"/>
        </w:numPr>
        <w:spacing w:before="120"/>
        <w:jc w:val="both"/>
        <w:rPr>
          <w:color w:val="000000"/>
          <w:sz w:val="22"/>
          <w:szCs w:val="22"/>
        </w:rPr>
      </w:pPr>
      <w:r w:rsidRPr="004A1493">
        <w:rPr>
          <w:color w:val="000000"/>
          <w:sz w:val="22"/>
          <w:szCs w:val="22"/>
        </w:rPr>
        <w:t>V případě rozporu mezi právy a povinnostmi vyplývajícími z Programu a Smlouvy platí, že se bude postupovat v souladu se Smlouvou. </w:t>
      </w:r>
    </w:p>
    <w:p w14:paraId="3CE347B3" w14:textId="77777777" w:rsidR="00C0088F" w:rsidRPr="004A1493" w:rsidRDefault="00C0088F" w:rsidP="00C0088F">
      <w:pPr>
        <w:numPr>
          <w:ilvl w:val="0"/>
          <w:numId w:val="19"/>
        </w:numPr>
        <w:spacing w:before="120"/>
        <w:jc w:val="both"/>
        <w:rPr>
          <w:color w:val="000000"/>
          <w:sz w:val="22"/>
          <w:szCs w:val="22"/>
        </w:rPr>
      </w:pPr>
      <w:r w:rsidRPr="004A1493">
        <w:rPr>
          <w:color w:val="000000"/>
          <w:sz w:val="22"/>
          <w:szCs w:val="22"/>
        </w:rPr>
        <w:t>Příjemce svým podpisem stvrzuje, že na stejný či obsahem podobný Účel neuzavře další Smlouvu o poskytnutí finanční podpory v rámci Magistrátu HMP a na stejný či obsahově podobný Účel nebude čerpat finanční prostředky jiného odboru. Pro posuzování podobnosti ve smyslu předchozí věty není rozhodující název Účelu, ale zda je realizovaný ve shodném termínu/čase, na shodném místě. </w:t>
      </w:r>
    </w:p>
    <w:p w14:paraId="7642656E" w14:textId="77777777" w:rsidR="00C0088F" w:rsidRPr="004A1493" w:rsidRDefault="00C0088F" w:rsidP="00C0088F">
      <w:pPr>
        <w:numPr>
          <w:ilvl w:val="0"/>
          <w:numId w:val="20"/>
        </w:numPr>
        <w:spacing w:before="120"/>
        <w:jc w:val="both"/>
        <w:rPr>
          <w:color w:val="000000"/>
          <w:sz w:val="22"/>
          <w:szCs w:val="22"/>
        </w:rPr>
      </w:pPr>
      <w:r w:rsidRPr="004A1493">
        <w:rPr>
          <w:color w:val="000000" w:themeColor="text1"/>
          <w:sz w:val="22"/>
          <w:szCs w:val="22"/>
        </w:rPr>
        <w:t>Informační povinnost Poskytovatele dle Nařízení Evropského parlamentu a Rady č. 2016/679 ze dne 27. 4. 2016 o ochraně fyzických osob v souvislosti se zpracováním osobních údajů a o  pohybu těchto údajů a o zrušení směrnice 95/46/ES („GDPR“) účinného od 25. 5. 2018 je ze strany Poskytovatele splněna prostřednictvím informace</w:t>
      </w:r>
      <w:r w:rsidRPr="004A1493">
        <w:rPr>
          <w:sz w:val="22"/>
          <w:szCs w:val="22"/>
        </w:rPr>
        <w:t xml:space="preserve"> </w:t>
      </w:r>
      <w:r w:rsidRPr="004A1493">
        <w:rPr>
          <w:color w:val="000000" w:themeColor="text1"/>
          <w:sz w:val="22"/>
          <w:szCs w:val="22"/>
        </w:rPr>
        <w:t>uveřejněné</w:t>
      </w:r>
      <w:r w:rsidRPr="004A1493">
        <w:rPr>
          <w:sz w:val="22"/>
          <w:szCs w:val="22"/>
        </w:rPr>
        <w:t> </w:t>
      </w:r>
      <w:r w:rsidRPr="004A1493">
        <w:rPr>
          <w:color w:val="000000" w:themeColor="text1"/>
          <w:sz w:val="22"/>
          <w:szCs w:val="22"/>
        </w:rPr>
        <w:t>na portálu </w:t>
      </w:r>
      <w:hyperlink r:id="rId13" w:history="1">
        <w:r w:rsidRPr="004A1493">
          <w:rPr>
            <w:rStyle w:val="Hypertextovodkaz"/>
            <w:sz w:val="22"/>
            <w:szCs w:val="22"/>
          </w:rPr>
          <w:t>www.praha.eu</w:t>
        </w:r>
      </w:hyperlink>
      <w:r w:rsidRPr="004A1493">
        <w:rPr>
          <w:color w:val="000000" w:themeColor="text1"/>
          <w:sz w:val="22"/>
          <w:szCs w:val="22"/>
        </w:rPr>
        <w:t>, a to na adrese:</w:t>
      </w:r>
      <w:r w:rsidRPr="004A1493">
        <w:rPr>
          <w:sz w:val="22"/>
          <w:szCs w:val="22"/>
        </w:rPr>
        <w:t> </w:t>
      </w:r>
      <w:hyperlink r:id="rId14" w:history="1">
        <w:r w:rsidRPr="004A1493">
          <w:rPr>
            <w:rStyle w:val="Hypertextovodkaz"/>
            <w:sz w:val="22"/>
            <w:szCs w:val="22"/>
          </w:rPr>
          <w:t>http://www.praha.eu/jnp/cz/o_meste/magistrat/gdpr/index.html</w:t>
        </w:r>
      </w:hyperlink>
      <w:r w:rsidRPr="004A1493">
        <w:rPr>
          <w:color w:val="000000" w:themeColor="text1"/>
          <w:sz w:val="22"/>
          <w:szCs w:val="22"/>
          <w:vertAlign w:val="superscript"/>
        </w:rPr>
        <w:t>1</w:t>
      </w:r>
      <w:hyperlink r:id="rId15">
        <w:r w:rsidRPr="004A1493">
          <w:rPr>
            <w:rStyle w:val="Hypertextovodkaz"/>
            <w:sz w:val="22"/>
            <w:szCs w:val="22"/>
          </w:rPr>
          <w:t>.</w:t>
        </w:r>
      </w:hyperlink>
      <w:r w:rsidRPr="004A1493">
        <w:rPr>
          <w:color w:val="000000" w:themeColor="text1"/>
          <w:sz w:val="22"/>
          <w:szCs w:val="22"/>
        </w:rPr>
        <w:t> </w:t>
      </w:r>
    </w:p>
    <w:p w14:paraId="6C3A3122" w14:textId="77777777" w:rsidR="00C0088F" w:rsidRPr="004A1493" w:rsidRDefault="00C0088F" w:rsidP="00C0088F">
      <w:pPr>
        <w:numPr>
          <w:ilvl w:val="0"/>
          <w:numId w:val="21"/>
        </w:numPr>
        <w:spacing w:before="120"/>
        <w:jc w:val="both"/>
        <w:rPr>
          <w:color w:val="000000"/>
          <w:sz w:val="22"/>
          <w:szCs w:val="22"/>
        </w:rPr>
      </w:pPr>
      <w:r w:rsidRPr="004A1493">
        <w:rPr>
          <w:color w:val="000000"/>
          <w:sz w:val="22"/>
          <w:szCs w:val="22"/>
        </w:rPr>
        <w:t>Změny a doplňky této Smlouvy mohou být provedeny pouze formou písemných dodatků podepsaných oběma Smluvními stranami.</w:t>
      </w:r>
    </w:p>
    <w:p w14:paraId="0F7BCF14" w14:textId="77777777" w:rsidR="00C0088F" w:rsidRPr="004A1493" w:rsidRDefault="00C0088F" w:rsidP="00C0088F">
      <w:pPr>
        <w:numPr>
          <w:ilvl w:val="0"/>
          <w:numId w:val="22"/>
        </w:numPr>
        <w:spacing w:before="120"/>
        <w:jc w:val="both"/>
        <w:rPr>
          <w:color w:val="000000"/>
          <w:sz w:val="22"/>
          <w:szCs w:val="22"/>
        </w:rPr>
      </w:pPr>
      <w:r w:rsidRPr="004A1493">
        <w:rPr>
          <w:color w:val="000000"/>
          <w:sz w:val="22"/>
          <w:szCs w:val="22"/>
        </w:rPr>
        <w:t>Smluvní strany výslovně souhlasí s tím, aby tato Smlouva byla uvedena v Centrální evidenci smluv (CES), vedené HMP, která je veřejně přístupná a která obsahuje údaje o Smluvních stranách, číselné označení této Smlouvy, datum jejího podpisu a text této Smlouvy. </w:t>
      </w:r>
    </w:p>
    <w:p w14:paraId="1BC3F122" w14:textId="77777777" w:rsidR="00C0088F" w:rsidRPr="004A1493" w:rsidRDefault="00C0088F" w:rsidP="00C0088F">
      <w:pPr>
        <w:numPr>
          <w:ilvl w:val="0"/>
          <w:numId w:val="23"/>
        </w:numPr>
        <w:spacing w:before="120"/>
        <w:jc w:val="both"/>
        <w:rPr>
          <w:color w:val="000000"/>
          <w:sz w:val="22"/>
          <w:szCs w:val="22"/>
        </w:rPr>
      </w:pPr>
      <w:r w:rsidRPr="004A1493">
        <w:rPr>
          <w:color w:val="000000"/>
          <w:sz w:val="22"/>
          <w:szCs w:val="22"/>
        </w:rPr>
        <w:t>Smluvní strany výslovně sjednávají, že uveřejnění této Smlouvy v registru smluv dle zákona č. 340/2015 Sb., o zvláštních podmínkách účinnosti některých smluv, uveřejňování těchto smluv a o registru smluv (zákon o registru smluv), ve znění pozdějších předpisů, zajistí Poskytovatel. </w:t>
      </w:r>
    </w:p>
    <w:p w14:paraId="4706680A" w14:textId="77777777" w:rsidR="00C0088F" w:rsidRPr="004A1493" w:rsidRDefault="00C0088F" w:rsidP="00C0088F">
      <w:pPr>
        <w:numPr>
          <w:ilvl w:val="0"/>
          <w:numId w:val="24"/>
        </w:numPr>
        <w:spacing w:before="120"/>
        <w:jc w:val="both"/>
        <w:rPr>
          <w:color w:val="000000"/>
          <w:sz w:val="22"/>
          <w:szCs w:val="22"/>
        </w:rPr>
      </w:pPr>
      <w:r w:rsidRPr="004A1493">
        <w:rPr>
          <w:color w:val="000000"/>
          <w:sz w:val="22"/>
          <w:szCs w:val="22"/>
        </w:rPr>
        <w:t>Příjemce bere na vědomí, že Poskytovatel je v souladu se Zásadami pro poskytování dotací hl. m. Prahou, schválených usnesením Rady hl. m. Prahy č.1743 dne 24.8.2020, povinen zveřejnit informace o Dotaci na svých internetových stránkách, zejména na Grantovém portálu. </w:t>
      </w:r>
    </w:p>
    <w:p w14:paraId="5BD2146F" w14:textId="77777777" w:rsidR="00C0088F" w:rsidRPr="004A1493" w:rsidRDefault="00C0088F" w:rsidP="00C0088F">
      <w:pPr>
        <w:numPr>
          <w:ilvl w:val="0"/>
          <w:numId w:val="25"/>
        </w:numPr>
        <w:spacing w:before="120"/>
        <w:jc w:val="both"/>
        <w:rPr>
          <w:color w:val="000000"/>
          <w:sz w:val="22"/>
          <w:szCs w:val="22"/>
        </w:rPr>
      </w:pPr>
      <w:r w:rsidRPr="004A1493">
        <w:rPr>
          <w:color w:val="000000"/>
          <w:sz w:val="22"/>
          <w:szCs w:val="22"/>
        </w:rPr>
        <w:t>Smluvní strany prohlašují, že skutečnosti uvedené v této Smlouvě nepovažují za obchodní tajemství ve smyslu § 504 Občanského zákoníku, a udělují svolení k jejich užití a zveřejnění bez stanovení jakýchkoli dalších podmínek. </w:t>
      </w:r>
    </w:p>
    <w:p w14:paraId="2566C722" w14:textId="77777777" w:rsidR="00C0088F" w:rsidRPr="004A1493" w:rsidRDefault="00C0088F" w:rsidP="00C0088F">
      <w:pPr>
        <w:numPr>
          <w:ilvl w:val="0"/>
          <w:numId w:val="26"/>
        </w:numPr>
        <w:spacing w:before="120"/>
        <w:jc w:val="both"/>
        <w:rPr>
          <w:color w:val="000000"/>
          <w:sz w:val="22"/>
          <w:szCs w:val="22"/>
        </w:rPr>
      </w:pPr>
      <w:r w:rsidRPr="004A1493">
        <w:rPr>
          <w:color w:val="000000"/>
          <w:sz w:val="22"/>
          <w:szCs w:val="22"/>
        </w:rPr>
        <w:t>Smlouva se vyhotovuje se ve 4 (čtyřech) autorizovaných stejnopisech. Příjemce obdrží 1 (jeden) stejnopis a Poskytovatel 3 (tři) tyto stejnopisy. Autorizace se provede připojením otisku úředního razítka Poskytovatele na přelepce Smlouvy. Uvedené ustanovení se nepoužije v případě elektronického podpisu smlouvy. </w:t>
      </w:r>
    </w:p>
    <w:p w14:paraId="72F230E6" w14:textId="77777777" w:rsidR="00C0088F" w:rsidRPr="004A1493" w:rsidRDefault="00C0088F" w:rsidP="00C0088F">
      <w:pPr>
        <w:numPr>
          <w:ilvl w:val="0"/>
          <w:numId w:val="27"/>
        </w:numPr>
        <w:spacing w:before="120"/>
        <w:jc w:val="both"/>
        <w:rPr>
          <w:color w:val="000000"/>
          <w:sz w:val="22"/>
          <w:szCs w:val="22"/>
        </w:rPr>
      </w:pPr>
      <w:r w:rsidRPr="004A1493">
        <w:rPr>
          <w:color w:val="000000"/>
          <w:sz w:val="22"/>
          <w:szCs w:val="22"/>
        </w:rPr>
        <w:t>Smlouva nabývá platnosti dnem jejího podpisu oběma Smluvními stranami a účinnosti dnem zveřejnění Smlouvy prostřednictvím registru smluv. </w:t>
      </w:r>
    </w:p>
    <w:p w14:paraId="504AE7AE" w14:textId="77777777" w:rsidR="00C0088F" w:rsidRPr="004A1493" w:rsidRDefault="00C0088F" w:rsidP="00C0088F">
      <w:pPr>
        <w:numPr>
          <w:ilvl w:val="0"/>
          <w:numId w:val="28"/>
        </w:numPr>
        <w:spacing w:before="120"/>
        <w:jc w:val="both"/>
        <w:rPr>
          <w:color w:val="000000"/>
          <w:sz w:val="22"/>
          <w:szCs w:val="22"/>
        </w:rPr>
      </w:pPr>
      <w:r w:rsidRPr="004A1493">
        <w:rPr>
          <w:color w:val="000000"/>
          <w:sz w:val="22"/>
          <w:szCs w:val="22"/>
        </w:rPr>
        <w:t>Smluvní strany prohlašují, že si Smlouvu řádně přečetly, jejímu obsahu porozuměly, její obsah je srozumitelný a určitý, že jim nejsou známy žádné důvody, pro které by tato Smlouva nemohla být řádně plněna nebo které by způsobovaly neplatnost Smlouvy a že je projevem jejich pravé, svobodné a vážné vůle prosté omylu, projevené při plné způsobilosti právně jednat, a dále že Smlouva nebyla ujednána v rozporu se zákonem a nepříčí se dobrým mravům a veškerá prohlášení ve Smlouvě odpovídají skutečnosti, což vše níže stvrzují svými podpisy. </w:t>
      </w:r>
    </w:p>
    <w:p w14:paraId="64A6EF6D" w14:textId="77777777" w:rsidR="00C0088F" w:rsidRPr="004A1493" w:rsidRDefault="00C0088F" w:rsidP="00C0088F">
      <w:pPr>
        <w:spacing w:before="120"/>
        <w:jc w:val="both"/>
        <w:rPr>
          <w:color w:val="000000"/>
          <w:sz w:val="22"/>
          <w:szCs w:val="22"/>
        </w:rPr>
      </w:pPr>
      <w:r w:rsidRPr="004A1493">
        <w:rPr>
          <w:color w:val="000000"/>
          <w:sz w:val="22"/>
          <w:szCs w:val="22"/>
        </w:rPr>
        <w:t> </w:t>
      </w:r>
    </w:p>
    <w:p w14:paraId="733C140B" w14:textId="77777777" w:rsidR="00C0088F" w:rsidRPr="004A1493" w:rsidRDefault="00C0088F" w:rsidP="00C0088F">
      <w:pPr>
        <w:spacing w:before="120"/>
        <w:jc w:val="both"/>
        <w:rPr>
          <w:color w:val="000000"/>
          <w:sz w:val="22"/>
          <w:szCs w:val="22"/>
        </w:rPr>
      </w:pPr>
    </w:p>
    <w:p w14:paraId="62D9D5F7" w14:textId="77777777" w:rsidR="00C0088F" w:rsidRPr="004A1493" w:rsidRDefault="00C0088F" w:rsidP="00C0088F">
      <w:pPr>
        <w:spacing w:before="120"/>
        <w:jc w:val="both"/>
        <w:rPr>
          <w:color w:val="000000"/>
          <w:sz w:val="22"/>
          <w:szCs w:val="22"/>
        </w:rPr>
      </w:pPr>
      <w:r w:rsidRPr="004A1493">
        <w:rPr>
          <w:color w:val="000000"/>
          <w:sz w:val="22"/>
          <w:szCs w:val="22"/>
        </w:rPr>
        <w:t xml:space="preserve">V Praze dne </w:t>
      </w:r>
      <w:r w:rsidRPr="004A1493">
        <w:rPr>
          <w:color w:val="000000"/>
          <w:sz w:val="22"/>
          <w:szCs w:val="22"/>
          <w:highlight w:val="yellow"/>
        </w:rPr>
        <w:t>………….</w:t>
      </w:r>
      <w:r w:rsidRPr="004A1493">
        <w:rPr>
          <w:color w:val="000000"/>
          <w:sz w:val="22"/>
          <w:szCs w:val="22"/>
        </w:rPr>
        <w:t xml:space="preserve">                                                                       V Praze dne </w:t>
      </w:r>
      <w:r w:rsidRPr="004A1493">
        <w:rPr>
          <w:color w:val="000000"/>
          <w:sz w:val="22"/>
          <w:szCs w:val="22"/>
          <w:highlight w:val="yellow"/>
        </w:rPr>
        <w:t>…………….</w:t>
      </w:r>
    </w:p>
    <w:p w14:paraId="59F25B31" w14:textId="77777777" w:rsidR="00C0088F" w:rsidRPr="004A1493" w:rsidRDefault="00C0088F" w:rsidP="00C0088F">
      <w:pPr>
        <w:spacing w:before="120"/>
        <w:jc w:val="both"/>
        <w:rPr>
          <w:color w:val="000000"/>
          <w:sz w:val="22"/>
          <w:szCs w:val="22"/>
        </w:rPr>
      </w:pPr>
      <w:r w:rsidRPr="004A1493">
        <w:rPr>
          <w:color w:val="000000"/>
          <w:sz w:val="22"/>
          <w:szCs w:val="22"/>
        </w:rPr>
        <w:t> </w:t>
      </w:r>
    </w:p>
    <w:p w14:paraId="41A1474F" w14:textId="77777777" w:rsidR="00C0088F" w:rsidRPr="004A1493" w:rsidRDefault="00C0088F" w:rsidP="00C0088F">
      <w:pPr>
        <w:spacing w:before="120"/>
        <w:jc w:val="both"/>
        <w:rPr>
          <w:color w:val="000000"/>
          <w:sz w:val="22"/>
          <w:szCs w:val="22"/>
        </w:rPr>
      </w:pPr>
      <w:r w:rsidRPr="004A1493">
        <w:rPr>
          <w:color w:val="000000"/>
          <w:sz w:val="22"/>
          <w:szCs w:val="22"/>
        </w:rPr>
        <w:t> </w:t>
      </w:r>
    </w:p>
    <w:p w14:paraId="633979BD" w14:textId="77777777" w:rsidR="00C0088F" w:rsidRPr="004A1493" w:rsidRDefault="00C0088F" w:rsidP="00C0088F">
      <w:pPr>
        <w:spacing w:before="120"/>
        <w:jc w:val="both"/>
        <w:rPr>
          <w:color w:val="000000"/>
          <w:sz w:val="22"/>
          <w:szCs w:val="22"/>
        </w:rPr>
      </w:pPr>
      <w:r w:rsidRPr="004A1493">
        <w:rPr>
          <w:color w:val="000000"/>
          <w:sz w:val="22"/>
          <w:szCs w:val="22"/>
        </w:rPr>
        <w:t> </w:t>
      </w:r>
    </w:p>
    <w:p w14:paraId="2F0031E9" w14:textId="77777777" w:rsidR="00C0088F" w:rsidRPr="004A1493" w:rsidRDefault="00C0088F" w:rsidP="00C0088F">
      <w:pPr>
        <w:spacing w:before="120"/>
        <w:jc w:val="both"/>
        <w:rPr>
          <w:color w:val="000000"/>
          <w:sz w:val="22"/>
          <w:szCs w:val="22"/>
        </w:rPr>
      </w:pPr>
      <w:r w:rsidRPr="004A1493">
        <w:rPr>
          <w:color w:val="000000"/>
          <w:sz w:val="22"/>
          <w:szCs w:val="22"/>
        </w:rPr>
        <w:t> </w:t>
      </w:r>
    </w:p>
    <w:p w14:paraId="358780DA" w14:textId="77777777" w:rsidR="00C0088F" w:rsidRPr="004A1493" w:rsidRDefault="00C0088F" w:rsidP="00C0088F">
      <w:pPr>
        <w:spacing w:before="120"/>
        <w:jc w:val="both"/>
        <w:rPr>
          <w:color w:val="000000"/>
          <w:sz w:val="22"/>
          <w:szCs w:val="22"/>
        </w:rPr>
      </w:pPr>
      <w:r w:rsidRPr="004A1493">
        <w:rPr>
          <w:color w:val="000000"/>
          <w:sz w:val="22"/>
          <w:szCs w:val="22"/>
        </w:rPr>
        <w:t>…………………………..                                                               ……………………………. </w:t>
      </w:r>
    </w:p>
    <w:p w14:paraId="2A66F06E" w14:textId="77777777" w:rsidR="00C0088F" w:rsidRPr="004A1493" w:rsidRDefault="00C0088F" w:rsidP="00C0088F">
      <w:pPr>
        <w:spacing w:before="120"/>
        <w:jc w:val="both"/>
        <w:rPr>
          <w:color w:val="000000"/>
          <w:sz w:val="22"/>
          <w:szCs w:val="22"/>
        </w:rPr>
      </w:pPr>
      <w:r w:rsidRPr="004A1493">
        <w:rPr>
          <w:b/>
          <w:bCs/>
          <w:color w:val="000000" w:themeColor="text1"/>
          <w:sz w:val="22"/>
          <w:szCs w:val="22"/>
        </w:rPr>
        <w:t>Poskytovatel                                                                                   Příjemce</w:t>
      </w:r>
      <w:r w:rsidRPr="004A1493">
        <w:rPr>
          <w:color w:val="000000" w:themeColor="text1"/>
          <w:sz w:val="22"/>
          <w:szCs w:val="22"/>
        </w:rPr>
        <w:t> </w:t>
      </w:r>
    </w:p>
    <w:p w14:paraId="4A227F81" w14:textId="77777777" w:rsidR="00C0088F" w:rsidRPr="004A1493" w:rsidRDefault="00C0088F" w:rsidP="00C0088F">
      <w:pPr>
        <w:jc w:val="both"/>
        <w:rPr>
          <w:b/>
          <w:bCs/>
          <w:color w:val="000000" w:themeColor="text1"/>
          <w:sz w:val="22"/>
          <w:szCs w:val="22"/>
        </w:rPr>
      </w:pPr>
      <w:r w:rsidRPr="004A1493">
        <w:rPr>
          <w:b/>
          <w:bCs/>
          <w:color w:val="000000" w:themeColor="text1"/>
          <w:sz w:val="22"/>
          <w:szCs w:val="22"/>
        </w:rPr>
        <w:t>RNDr. Daniel Mazur, PhD.</w:t>
      </w:r>
      <w:r w:rsidRPr="004A1493">
        <w:rPr>
          <w:color w:val="000000" w:themeColor="text1"/>
          <w:sz w:val="22"/>
          <w:szCs w:val="22"/>
        </w:rPr>
        <w:t xml:space="preserve"> </w:t>
      </w:r>
      <w:r w:rsidRPr="004A1493">
        <w:rPr>
          <w:color w:val="000000" w:themeColor="text1"/>
          <w:sz w:val="22"/>
          <w:szCs w:val="22"/>
        </w:rPr>
        <w:tab/>
      </w:r>
      <w:r w:rsidRPr="004A1493">
        <w:rPr>
          <w:color w:val="000000" w:themeColor="text1"/>
          <w:sz w:val="22"/>
          <w:szCs w:val="22"/>
        </w:rPr>
        <w:tab/>
      </w:r>
      <w:r w:rsidRPr="004A1493">
        <w:rPr>
          <w:color w:val="000000" w:themeColor="text1"/>
          <w:sz w:val="22"/>
          <w:szCs w:val="22"/>
        </w:rPr>
        <w:tab/>
      </w:r>
      <w:r w:rsidRPr="004A1493">
        <w:rPr>
          <w:color w:val="000000" w:themeColor="text1"/>
          <w:sz w:val="22"/>
          <w:szCs w:val="22"/>
        </w:rPr>
        <w:tab/>
      </w:r>
      <w:r w:rsidRPr="004A1493">
        <w:rPr>
          <w:color w:val="000000" w:themeColor="text1"/>
          <w:sz w:val="22"/>
          <w:szCs w:val="22"/>
        </w:rPr>
        <w:tab/>
      </w:r>
      <w:r w:rsidRPr="004A1493">
        <w:rPr>
          <w:color w:val="000000"/>
          <w:sz w:val="22"/>
          <w:szCs w:val="22"/>
          <w:highlight w:val="yellow"/>
        </w:rPr>
        <w:t>…………………………….</w:t>
      </w:r>
      <w:r w:rsidRPr="004A1493">
        <w:rPr>
          <w:color w:val="000000"/>
          <w:sz w:val="22"/>
          <w:szCs w:val="22"/>
        </w:rPr>
        <w:t> </w:t>
      </w:r>
    </w:p>
    <w:p w14:paraId="28826602" w14:textId="77777777" w:rsidR="00C0088F" w:rsidRPr="004A1493" w:rsidRDefault="00C0088F" w:rsidP="00C0088F">
      <w:pPr>
        <w:jc w:val="both"/>
        <w:rPr>
          <w:color w:val="000000" w:themeColor="text1"/>
          <w:sz w:val="22"/>
          <w:szCs w:val="22"/>
        </w:rPr>
      </w:pPr>
      <w:r w:rsidRPr="004A1493">
        <w:rPr>
          <w:color w:val="000000" w:themeColor="text1"/>
          <w:sz w:val="22"/>
          <w:szCs w:val="22"/>
        </w:rPr>
        <w:t>radní pro oblast ICT, Smart City, vědy,</w:t>
      </w:r>
    </w:p>
    <w:p w14:paraId="2D903504" w14:textId="77777777" w:rsidR="00C0088F" w:rsidRPr="004A1493" w:rsidRDefault="00C0088F" w:rsidP="00C0088F">
      <w:pPr>
        <w:jc w:val="both"/>
        <w:rPr>
          <w:color w:val="000000"/>
          <w:sz w:val="22"/>
          <w:szCs w:val="22"/>
        </w:rPr>
      </w:pPr>
      <w:r w:rsidRPr="004A1493">
        <w:rPr>
          <w:color w:val="000000" w:themeColor="text1"/>
          <w:sz w:val="22"/>
          <w:szCs w:val="22"/>
        </w:rPr>
        <w:t xml:space="preserve">výzkumu a inovací                                                                  </w:t>
      </w:r>
    </w:p>
    <w:p w14:paraId="508B2753" w14:textId="238D9100" w:rsidR="000D783C" w:rsidRPr="004A1493" w:rsidRDefault="000D783C" w:rsidP="00C0088F">
      <w:pPr>
        <w:spacing w:after="160" w:line="259" w:lineRule="auto"/>
        <w:rPr>
          <w:color w:val="000000"/>
          <w:sz w:val="22"/>
          <w:szCs w:val="22"/>
        </w:rPr>
      </w:pPr>
    </w:p>
    <w:sectPr w:rsidR="000D783C" w:rsidRPr="004A1493">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068BE" w14:textId="77777777" w:rsidR="00C0088F" w:rsidRDefault="00C0088F" w:rsidP="00C0088F">
      <w:r>
        <w:separator/>
      </w:r>
    </w:p>
  </w:endnote>
  <w:endnote w:type="continuationSeparator" w:id="0">
    <w:p w14:paraId="2094FFF5" w14:textId="77777777" w:rsidR="00C0088F" w:rsidRDefault="00C0088F" w:rsidP="00C00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6429917"/>
      <w:docPartObj>
        <w:docPartGallery w:val="Page Numbers (Bottom of Page)"/>
        <w:docPartUnique/>
      </w:docPartObj>
    </w:sdtPr>
    <w:sdtEndPr/>
    <w:sdtContent>
      <w:p w14:paraId="6CB269CD" w14:textId="4E8D4B5D" w:rsidR="00C0088F" w:rsidRDefault="00C0088F">
        <w:pPr>
          <w:pStyle w:val="Zpat"/>
          <w:jc w:val="center"/>
        </w:pPr>
        <w:r>
          <w:fldChar w:fldCharType="begin"/>
        </w:r>
        <w:r>
          <w:instrText>PAGE   \* MERGEFORMAT</w:instrText>
        </w:r>
        <w:r>
          <w:fldChar w:fldCharType="separate"/>
        </w:r>
        <w:r>
          <w:t>2</w:t>
        </w:r>
        <w:r>
          <w:fldChar w:fldCharType="end"/>
        </w:r>
      </w:p>
    </w:sdtContent>
  </w:sdt>
  <w:p w14:paraId="09609133" w14:textId="77777777" w:rsidR="00C0088F" w:rsidRDefault="00C0088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F3F1D" w14:textId="77777777" w:rsidR="00C0088F" w:rsidRDefault="00C0088F" w:rsidP="00C0088F">
      <w:r>
        <w:separator/>
      </w:r>
    </w:p>
  </w:footnote>
  <w:footnote w:type="continuationSeparator" w:id="0">
    <w:p w14:paraId="4A302270" w14:textId="77777777" w:rsidR="00C0088F" w:rsidRDefault="00C0088F" w:rsidP="00C00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52160" w14:textId="5AD74864" w:rsidR="007547A5" w:rsidRPr="007547A5" w:rsidRDefault="007547A5" w:rsidP="007547A5">
    <w:pPr>
      <w:pStyle w:val="Zhlav"/>
    </w:pPr>
    <w:r>
      <w:rPr>
        <w:noProof/>
        <w:color w:val="000000"/>
      </w:rPr>
      <w:drawing>
        <wp:inline distT="0" distB="0" distL="0" distR="0" wp14:anchorId="1000FD92" wp14:editId="015BC445">
          <wp:extent cx="5760720" cy="890905"/>
          <wp:effectExtent l="0" t="0" r="0" b="4445"/>
          <wp:docPr id="2128307819" name="image3.png" descr="Obsah obrázku text, snímek obrazovky, Písmo, Elektricky modrá&#10;&#10;Popis byl vytvořen automaticky"/>
          <wp:cNvGraphicFramePr/>
          <a:graphic xmlns:a="http://schemas.openxmlformats.org/drawingml/2006/main">
            <a:graphicData uri="http://schemas.openxmlformats.org/drawingml/2006/picture">
              <pic:pic xmlns:pic="http://schemas.openxmlformats.org/drawingml/2006/picture">
                <pic:nvPicPr>
                  <pic:cNvPr id="0" name="image3.png" descr="Obsah obrázku text, snímek obrazovky, Písmo, Elektricky modrá&#10;&#10;Popis byl vytvořen automaticky"/>
                  <pic:cNvPicPr preferRelativeResize="0"/>
                </pic:nvPicPr>
                <pic:blipFill>
                  <a:blip r:embed="rId1"/>
                  <a:srcRect/>
                  <a:stretch>
                    <a:fillRect/>
                  </a:stretch>
                </pic:blipFill>
                <pic:spPr>
                  <a:xfrm>
                    <a:off x="0" y="0"/>
                    <a:ext cx="5760720" cy="89090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8478B"/>
    <w:multiLevelType w:val="multilevel"/>
    <w:tmpl w:val="E5209F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E52EEE"/>
    <w:multiLevelType w:val="multilevel"/>
    <w:tmpl w:val="1B6EC8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DC5D16"/>
    <w:multiLevelType w:val="multilevel"/>
    <w:tmpl w:val="B8D416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085108"/>
    <w:multiLevelType w:val="multilevel"/>
    <w:tmpl w:val="FBE047E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 w15:restartNumberingAfterBreak="0">
    <w:nsid w:val="16963691"/>
    <w:multiLevelType w:val="multilevel"/>
    <w:tmpl w:val="1F96462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AE56980"/>
    <w:multiLevelType w:val="multilevel"/>
    <w:tmpl w:val="316ECD7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085D5B"/>
    <w:multiLevelType w:val="hybridMultilevel"/>
    <w:tmpl w:val="4E70A7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EC04BD"/>
    <w:multiLevelType w:val="multilevel"/>
    <w:tmpl w:val="F2206DB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8E466C5"/>
    <w:multiLevelType w:val="multilevel"/>
    <w:tmpl w:val="9F142F2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694C31"/>
    <w:multiLevelType w:val="hybridMultilevel"/>
    <w:tmpl w:val="AFFA97DE"/>
    <w:lvl w:ilvl="0" w:tplc="AFB089BE">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E551D5"/>
    <w:multiLevelType w:val="multilevel"/>
    <w:tmpl w:val="4F0263FA"/>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C017029"/>
    <w:multiLevelType w:val="multilevel"/>
    <w:tmpl w:val="35C6586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3C0C20"/>
    <w:multiLevelType w:val="multilevel"/>
    <w:tmpl w:val="9E0CCB2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EF0570A"/>
    <w:multiLevelType w:val="multilevel"/>
    <w:tmpl w:val="D9CC1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E802D6"/>
    <w:multiLevelType w:val="multilevel"/>
    <w:tmpl w:val="50E4C7E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3004395B"/>
    <w:multiLevelType w:val="multilevel"/>
    <w:tmpl w:val="3B4E78C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CC2A39"/>
    <w:multiLevelType w:val="multilevel"/>
    <w:tmpl w:val="260E5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6159B4"/>
    <w:multiLevelType w:val="multilevel"/>
    <w:tmpl w:val="2D14C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00078E"/>
    <w:multiLevelType w:val="multilevel"/>
    <w:tmpl w:val="EFEA8D4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095FD3"/>
    <w:multiLevelType w:val="multilevel"/>
    <w:tmpl w:val="65EA2D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AD6FB4"/>
    <w:multiLevelType w:val="multilevel"/>
    <w:tmpl w:val="548E54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6C7298"/>
    <w:multiLevelType w:val="multilevel"/>
    <w:tmpl w:val="242278C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1706ED4"/>
    <w:multiLevelType w:val="multilevel"/>
    <w:tmpl w:val="31D87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1F0223"/>
    <w:multiLevelType w:val="multilevel"/>
    <w:tmpl w:val="7466D11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7EA636B"/>
    <w:multiLevelType w:val="multilevel"/>
    <w:tmpl w:val="BA56F0D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7F80F05"/>
    <w:multiLevelType w:val="multilevel"/>
    <w:tmpl w:val="E19E2E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94F66F5"/>
    <w:multiLevelType w:val="multilevel"/>
    <w:tmpl w:val="2190FE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2D83285"/>
    <w:multiLevelType w:val="multilevel"/>
    <w:tmpl w:val="89C4AC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35C09EE"/>
    <w:multiLevelType w:val="multilevel"/>
    <w:tmpl w:val="381258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6114797"/>
    <w:multiLevelType w:val="multilevel"/>
    <w:tmpl w:val="6FFE00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D47700B"/>
    <w:multiLevelType w:val="multilevel"/>
    <w:tmpl w:val="3FF29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654844">
    <w:abstractNumId w:val="13"/>
  </w:num>
  <w:num w:numId="2" w16cid:durableId="2002807234">
    <w:abstractNumId w:val="14"/>
  </w:num>
  <w:num w:numId="3" w16cid:durableId="1880236479">
    <w:abstractNumId w:val="16"/>
  </w:num>
  <w:num w:numId="4" w16cid:durableId="1210341859">
    <w:abstractNumId w:val="29"/>
  </w:num>
  <w:num w:numId="5" w16cid:durableId="1311448265">
    <w:abstractNumId w:val="22"/>
  </w:num>
  <w:num w:numId="6" w16cid:durableId="941063755">
    <w:abstractNumId w:val="19"/>
  </w:num>
  <w:num w:numId="7" w16cid:durableId="1903831542">
    <w:abstractNumId w:val="17"/>
  </w:num>
  <w:num w:numId="8" w16cid:durableId="1127089093">
    <w:abstractNumId w:val="2"/>
  </w:num>
  <w:num w:numId="9" w16cid:durableId="1987079967">
    <w:abstractNumId w:val="25"/>
  </w:num>
  <w:num w:numId="10" w16cid:durableId="1709598482">
    <w:abstractNumId w:val="4"/>
  </w:num>
  <w:num w:numId="11" w16cid:durableId="1501114909">
    <w:abstractNumId w:val="21"/>
  </w:num>
  <w:num w:numId="12" w16cid:durableId="443381428">
    <w:abstractNumId w:val="24"/>
  </w:num>
  <w:num w:numId="13" w16cid:durableId="240138629">
    <w:abstractNumId w:val="12"/>
  </w:num>
  <w:num w:numId="14" w16cid:durableId="1427732258">
    <w:abstractNumId w:val="23"/>
  </w:num>
  <w:num w:numId="15" w16cid:durableId="1355769003">
    <w:abstractNumId w:val="7"/>
  </w:num>
  <w:num w:numId="16" w16cid:durableId="1657220351">
    <w:abstractNumId w:val="10"/>
  </w:num>
  <w:num w:numId="17" w16cid:durableId="1723795192">
    <w:abstractNumId w:val="30"/>
  </w:num>
  <w:num w:numId="18" w16cid:durableId="1245609080">
    <w:abstractNumId w:val="27"/>
  </w:num>
  <w:num w:numId="19" w16cid:durableId="1453986233">
    <w:abstractNumId w:val="0"/>
  </w:num>
  <w:num w:numId="20" w16cid:durableId="1852446210">
    <w:abstractNumId w:val="20"/>
  </w:num>
  <w:num w:numId="21" w16cid:durableId="559287602">
    <w:abstractNumId w:val="26"/>
  </w:num>
  <w:num w:numId="22" w16cid:durableId="1821655034">
    <w:abstractNumId w:val="1"/>
  </w:num>
  <w:num w:numId="23" w16cid:durableId="1059789131">
    <w:abstractNumId w:val="11"/>
  </w:num>
  <w:num w:numId="24" w16cid:durableId="595134339">
    <w:abstractNumId w:val="28"/>
  </w:num>
  <w:num w:numId="25" w16cid:durableId="1746298795">
    <w:abstractNumId w:val="15"/>
  </w:num>
  <w:num w:numId="26" w16cid:durableId="391196627">
    <w:abstractNumId w:val="18"/>
  </w:num>
  <w:num w:numId="27" w16cid:durableId="1744064381">
    <w:abstractNumId w:val="5"/>
  </w:num>
  <w:num w:numId="28" w16cid:durableId="1845122925">
    <w:abstractNumId w:val="8"/>
  </w:num>
  <w:num w:numId="29" w16cid:durableId="1415206677">
    <w:abstractNumId w:val="6"/>
  </w:num>
  <w:num w:numId="30" w16cid:durableId="1596863824">
    <w:abstractNumId w:val="9"/>
  </w:num>
  <w:num w:numId="31" w16cid:durableId="20838682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88F"/>
    <w:rsid w:val="000D783C"/>
    <w:rsid w:val="00134B90"/>
    <w:rsid w:val="004A1493"/>
    <w:rsid w:val="007547A5"/>
    <w:rsid w:val="00BA254C"/>
    <w:rsid w:val="00C0088F"/>
    <w:rsid w:val="00E466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988FE"/>
  <w15:chartTrackingRefBased/>
  <w15:docId w15:val="{A2E2FEE6-7E94-4952-B24C-2A2EF24C6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0088F"/>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
    <w:next w:val="Normln"/>
    <w:link w:val="Nadpis1Char"/>
    <w:uiPriority w:val="9"/>
    <w:qFormat/>
    <w:rsid w:val="00C008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C008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C0088F"/>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C0088F"/>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C0088F"/>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C0088F"/>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C0088F"/>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C0088F"/>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C0088F"/>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0088F"/>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C0088F"/>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C0088F"/>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C0088F"/>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C0088F"/>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C0088F"/>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C0088F"/>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C0088F"/>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C0088F"/>
    <w:rPr>
      <w:rFonts w:eastAsiaTheme="majorEastAsia" w:cstheme="majorBidi"/>
      <w:color w:val="272727" w:themeColor="text1" w:themeTint="D8"/>
    </w:rPr>
  </w:style>
  <w:style w:type="paragraph" w:styleId="Nzev">
    <w:name w:val="Title"/>
    <w:basedOn w:val="Normln"/>
    <w:next w:val="Normln"/>
    <w:link w:val="NzevChar"/>
    <w:uiPriority w:val="10"/>
    <w:qFormat/>
    <w:rsid w:val="00C0088F"/>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0088F"/>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C0088F"/>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C0088F"/>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C0088F"/>
    <w:pPr>
      <w:spacing w:before="160"/>
      <w:jc w:val="center"/>
    </w:pPr>
    <w:rPr>
      <w:i/>
      <w:iCs/>
      <w:color w:val="404040" w:themeColor="text1" w:themeTint="BF"/>
    </w:rPr>
  </w:style>
  <w:style w:type="character" w:customStyle="1" w:styleId="CittChar">
    <w:name w:val="Citát Char"/>
    <w:basedOn w:val="Standardnpsmoodstavce"/>
    <w:link w:val="Citt"/>
    <w:uiPriority w:val="29"/>
    <w:rsid w:val="00C0088F"/>
    <w:rPr>
      <w:i/>
      <w:iCs/>
      <w:color w:val="404040" w:themeColor="text1" w:themeTint="BF"/>
    </w:rPr>
  </w:style>
  <w:style w:type="paragraph" w:styleId="Odstavecseseznamem">
    <w:name w:val="List Paragraph"/>
    <w:basedOn w:val="Normln"/>
    <w:uiPriority w:val="1"/>
    <w:qFormat/>
    <w:rsid w:val="00C0088F"/>
    <w:pPr>
      <w:ind w:left="720"/>
      <w:contextualSpacing/>
    </w:pPr>
  </w:style>
  <w:style w:type="character" w:styleId="Zdraznnintenzivn">
    <w:name w:val="Intense Emphasis"/>
    <w:basedOn w:val="Standardnpsmoodstavce"/>
    <w:uiPriority w:val="21"/>
    <w:qFormat/>
    <w:rsid w:val="00C0088F"/>
    <w:rPr>
      <w:i/>
      <w:iCs/>
      <w:color w:val="0F4761" w:themeColor="accent1" w:themeShade="BF"/>
    </w:rPr>
  </w:style>
  <w:style w:type="paragraph" w:styleId="Vrazncitt">
    <w:name w:val="Intense Quote"/>
    <w:basedOn w:val="Normln"/>
    <w:next w:val="Normln"/>
    <w:link w:val="VrazncittChar"/>
    <w:uiPriority w:val="30"/>
    <w:qFormat/>
    <w:rsid w:val="00C008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C0088F"/>
    <w:rPr>
      <w:i/>
      <w:iCs/>
      <w:color w:val="0F4761" w:themeColor="accent1" w:themeShade="BF"/>
    </w:rPr>
  </w:style>
  <w:style w:type="character" w:styleId="Odkazintenzivn">
    <w:name w:val="Intense Reference"/>
    <w:basedOn w:val="Standardnpsmoodstavce"/>
    <w:uiPriority w:val="32"/>
    <w:qFormat/>
    <w:rsid w:val="00C0088F"/>
    <w:rPr>
      <w:b/>
      <w:bCs/>
      <w:smallCaps/>
      <w:color w:val="0F4761" w:themeColor="accent1" w:themeShade="BF"/>
      <w:spacing w:val="5"/>
    </w:rPr>
  </w:style>
  <w:style w:type="character" w:styleId="Hypertextovodkaz">
    <w:name w:val="Hyperlink"/>
    <w:uiPriority w:val="99"/>
    <w:rsid w:val="00C0088F"/>
    <w:rPr>
      <w:color w:val="0000FF"/>
      <w:u w:val="single"/>
    </w:rPr>
  </w:style>
  <w:style w:type="paragraph" w:styleId="Zhlav">
    <w:name w:val="header"/>
    <w:basedOn w:val="Normln"/>
    <w:link w:val="ZhlavChar"/>
    <w:uiPriority w:val="99"/>
    <w:unhideWhenUsed/>
    <w:rsid w:val="00C0088F"/>
    <w:pPr>
      <w:tabs>
        <w:tab w:val="center" w:pos="4536"/>
        <w:tab w:val="right" w:pos="9072"/>
      </w:tabs>
    </w:pPr>
  </w:style>
  <w:style w:type="character" w:customStyle="1" w:styleId="ZhlavChar">
    <w:name w:val="Záhlaví Char"/>
    <w:basedOn w:val="Standardnpsmoodstavce"/>
    <w:link w:val="Zhlav"/>
    <w:uiPriority w:val="99"/>
    <w:rsid w:val="00C0088F"/>
    <w:rPr>
      <w:rFonts w:ascii="Times New Roman" w:eastAsia="Times New Roman" w:hAnsi="Times New Roman" w:cs="Times New Roman"/>
      <w:kern w:val="0"/>
      <w:sz w:val="24"/>
      <w:szCs w:val="24"/>
      <w:lang w:eastAsia="cs-CZ"/>
      <w14:ligatures w14:val="none"/>
    </w:rPr>
  </w:style>
  <w:style w:type="paragraph" w:styleId="Zpat">
    <w:name w:val="footer"/>
    <w:basedOn w:val="Normln"/>
    <w:link w:val="ZpatChar"/>
    <w:uiPriority w:val="99"/>
    <w:unhideWhenUsed/>
    <w:rsid w:val="00C0088F"/>
    <w:pPr>
      <w:tabs>
        <w:tab w:val="center" w:pos="4536"/>
        <w:tab w:val="right" w:pos="9072"/>
      </w:tabs>
    </w:pPr>
  </w:style>
  <w:style w:type="character" w:customStyle="1" w:styleId="ZpatChar">
    <w:name w:val="Zápatí Char"/>
    <w:basedOn w:val="Standardnpsmoodstavce"/>
    <w:link w:val="Zpat"/>
    <w:uiPriority w:val="99"/>
    <w:rsid w:val="00C0088F"/>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ha.brandcloud.pro/" TargetMode="External"/><Relationship Id="rId13" Type="http://schemas.openxmlformats.org/officeDocument/2006/relationships/hyperlink" Target="http://www.praha.e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sta@praha.e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aha.eu/web/praha/vzdelavani-evropske-dotace" TargetMode="External"/><Relationship Id="rId5" Type="http://schemas.openxmlformats.org/officeDocument/2006/relationships/webSettings" Target="webSettings.xml"/><Relationship Id="rId15" Type="http://schemas.openxmlformats.org/officeDocument/2006/relationships/hyperlink" Target="http://www.praha.eu/jnp/cz/o_meste/magistrat/gdpr/index.html" TargetMode="External"/><Relationship Id="rId10" Type="http://schemas.openxmlformats.org/officeDocument/2006/relationships/hyperlink" Target="https://opjak.cz/dokumenty/pravidla-pro-zadatele-a-prijemce-obecna-cas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rafickymanual.pri@praha.eu" TargetMode="External"/><Relationship Id="rId14" Type="http://schemas.openxmlformats.org/officeDocument/2006/relationships/hyperlink" Target="http://www.praha.eu/jnp/cz/o_meste/magistrat/gdpr/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6F192-F3FA-4530-8AFF-4406AAC80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2582</Words>
  <Characters>15237</Characters>
  <Application>Microsoft Office Word</Application>
  <DocSecurity>0</DocSecurity>
  <Lines>126</Lines>
  <Paragraphs>35</Paragraphs>
  <ScaleCrop>false</ScaleCrop>
  <Company>MHMP</Company>
  <LinksUpToDate>false</LinksUpToDate>
  <CharactersWithSpaces>17784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Rollová Magdalena (MHMP, EXT)</dc:creator>
  <cp:keywords/>
  <dc:description/>
  <cp:lastModifiedBy>Rollová Magdalena (MHMP, EXT)</cp:lastModifiedBy>
  <cp:revision>3</cp:revision>
  <dcterms:created xsi:type="dcterms:W3CDTF">2025-05-15T09:38:00Z</dcterms:created>
  <dcterms:modified xsi:type="dcterms:W3CDTF">2025-05-15T09:43:00Z</dcterms:modified>
</cp:coreProperties>
</file>