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2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3104"/>
        <w:gridCol w:w="1318"/>
        <w:gridCol w:w="1077"/>
        <w:gridCol w:w="850"/>
        <w:gridCol w:w="1134"/>
        <w:gridCol w:w="6"/>
      </w:tblGrid>
      <w:tr w:rsidR="00F105E0" w:rsidRPr="00F3023E" w14:paraId="7F08C2BB" w14:textId="77777777" w:rsidTr="00833757">
        <w:trPr>
          <w:gridAfter w:val="1"/>
          <w:wAfter w:w="6" w:type="dxa"/>
          <w:trHeight w:hRule="exact" w:val="576"/>
        </w:trPr>
        <w:tc>
          <w:tcPr>
            <w:tcW w:w="1063" w:type="dxa"/>
            <w:shd w:val="clear" w:color="auto" w:fill="auto"/>
            <w:vAlign w:val="center"/>
          </w:tcPr>
          <w:p w14:paraId="369DDF3C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189D04B" w14:textId="178702D6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140629B9" w14:textId="77777777" w:rsidTr="00833757">
        <w:trPr>
          <w:gridAfter w:val="1"/>
          <w:wAfter w:w="6" w:type="dxa"/>
          <w:trHeight w:hRule="exact" w:val="440"/>
        </w:trPr>
        <w:tc>
          <w:tcPr>
            <w:tcW w:w="1063" w:type="dxa"/>
            <w:shd w:val="clear" w:color="auto" w:fill="auto"/>
            <w:vAlign w:val="center"/>
          </w:tcPr>
          <w:p w14:paraId="0E2378F2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900E52">
        <w:trPr>
          <w:gridAfter w:val="1"/>
          <w:wAfter w:w="6" w:type="dxa"/>
          <w:trHeight w:hRule="exact" w:val="2119"/>
        </w:trPr>
        <w:tc>
          <w:tcPr>
            <w:tcW w:w="1063" w:type="dxa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8B9A40E" w14:textId="3929632B" w:rsidR="00997ACF" w:rsidRDefault="00997ACF" w:rsidP="00833757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lenové</w:t>
            </w:r>
            <w:proofErr w:type="spellEnd"/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</w:t>
            </w:r>
            <w:proofErr w:type="gramEnd"/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Ing. Iveta Jechová</w:t>
            </w:r>
            <w:r w:rsidR="00F3023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7AFF" w:rsidRPr="00EA4381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 Zdena Štěpánková,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JUD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r. Robert Pecka, </w:t>
            </w:r>
            <w:bookmarkStart w:id="0" w:name="_Hlk93414154"/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 xml:space="preserve">Michal Veber, </w:t>
            </w:r>
            <w:r w:rsidR="00736439" w:rsidRPr="00EA4381">
              <w:rPr>
                <w:rFonts w:eastAsia="Calibri"/>
                <w:sz w:val="22"/>
                <w:szCs w:val="22"/>
                <w:lang w:eastAsia="en-US"/>
              </w:rPr>
              <w:t>MgA. Jiří Sulženko, Ph.D.,</w:t>
            </w:r>
          </w:p>
          <w:p w14:paraId="2B0D8C28" w14:textId="4C4087B1" w:rsidR="00833757" w:rsidRDefault="00736439" w:rsidP="00833757">
            <w:pPr>
              <w:tabs>
                <w:tab w:val="left" w:pos="1263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364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>Ing. Jiří Stýblo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3DAAFB98" w14:textId="6CE5BECA" w:rsidR="00983BD8" w:rsidRPr="00833757" w:rsidRDefault="00983BD8" w:rsidP="00833757">
            <w:pPr>
              <w:spacing w:line="276" w:lineRule="auto"/>
              <w:ind w:left="1263" w:hanging="1263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9663D0">
              <w:rPr>
                <w:rFonts w:eastAsia="Calibri"/>
                <w:b/>
                <w:sz w:val="22"/>
                <w:szCs w:val="22"/>
                <w:lang w:eastAsia="en-US"/>
              </w:rPr>
              <w:t>Hosté: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</w:t>
            </w:r>
            <w:proofErr w:type="gramEnd"/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</w:t>
            </w:r>
            <w:r w:rsidRPr="00983BD8">
              <w:rPr>
                <w:rFonts w:eastAsia="Calibri"/>
                <w:sz w:val="22"/>
                <w:szCs w:val="22"/>
                <w:lang w:eastAsia="en-US"/>
              </w:rPr>
              <w:t>Ing. et Ing. Jana Berková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3BD8">
              <w:rPr>
                <w:rFonts w:eastAsia="Calibri"/>
                <w:sz w:val="22"/>
                <w:szCs w:val="22"/>
                <w:lang w:eastAsia="en-US"/>
              </w:rPr>
              <w:t>ředitelka odboru médií a marketingu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MHMP,  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Bc. R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>o</w:t>
            </w:r>
            <w:r>
              <w:rPr>
                <w:rFonts w:eastAsia="Calibri"/>
                <w:sz w:val="22"/>
                <w:szCs w:val="22"/>
                <w:lang w:eastAsia="en-US"/>
              </w:rPr>
              <w:t>man Muška</w:t>
            </w:r>
            <w:r w:rsidR="006B06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612F5">
              <w:rPr>
                <w:rFonts w:eastAsia="Calibri"/>
                <w:sz w:val="22"/>
                <w:szCs w:val="22"/>
                <w:lang w:eastAsia="en-US"/>
              </w:rPr>
              <w:t xml:space="preserve">(ředitel Prague </w:t>
            </w:r>
            <w:proofErr w:type="spellStart"/>
            <w:r w:rsidR="000612F5">
              <w:rPr>
                <w:rFonts w:eastAsia="Calibri"/>
                <w:sz w:val="22"/>
                <w:szCs w:val="22"/>
                <w:lang w:eastAsia="en-US"/>
              </w:rPr>
              <w:t>Convention</w:t>
            </w:r>
            <w:proofErr w:type="spellEnd"/>
            <w:r w:rsidR="000612F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12F5">
              <w:rPr>
                <w:rFonts w:eastAsia="Calibri"/>
                <w:sz w:val="22"/>
                <w:szCs w:val="22"/>
                <w:lang w:eastAsia="en-US"/>
              </w:rPr>
              <w:t>Bureau</w:t>
            </w:r>
            <w:proofErr w:type="spellEnd"/>
            <w:r w:rsidR="000612F5">
              <w:rPr>
                <w:rFonts w:eastAsia="Calibri"/>
                <w:sz w:val="22"/>
                <w:szCs w:val="22"/>
                <w:lang w:eastAsia="en-US"/>
              </w:rPr>
              <w:t>),</w:t>
            </w:r>
          </w:p>
          <w:bookmarkEnd w:id="0"/>
          <w:p w14:paraId="2AC2A90D" w14:textId="18C51021" w:rsidR="00F105E0" w:rsidRPr="00F3023E" w:rsidRDefault="00997ACF" w:rsidP="00833757">
            <w:pPr>
              <w:spacing w:after="200"/>
              <w:ind w:left="1263" w:hanging="12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F105E0" w:rsidRPr="00F3023E" w14:paraId="25DE2460" w14:textId="77777777" w:rsidTr="00833757">
        <w:trPr>
          <w:gridAfter w:val="1"/>
          <w:wAfter w:w="6" w:type="dxa"/>
          <w:trHeight w:hRule="exact" w:val="1832"/>
        </w:trPr>
        <w:tc>
          <w:tcPr>
            <w:tcW w:w="1063" w:type="dxa"/>
            <w:shd w:val="clear" w:color="auto" w:fill="auto"/>
            <w:vAlign w:val="center"/>
          </w:tcPr>
          <w:p w14:paraId="001BCD5F" w14:textId="11A72BEA" w:rsidR="00F105E0" w:rsidRPr="00F3023E" w:rsidRDefault="0073643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9A990D" w14:textId="77777777" w:rsidR="007877B6" w:rsidRDefault="007877B6" w:rsidP="00EE3182">
            <w:pPr>
              <w:jc w:val="both"/>
              <w:rPr>
                <w:b/>
                <w:sz w:val="22"/>
              </w:rPr>
            </w:pPr>
          </w:p>
          <w:p w14:paraId="45A2653E" w14:textId="79186464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 xml:space="preserve"> </w:t>
            </w:r>
            <w:r w:rsidR="001B6D9C">
              <w:rPr>
                <w:b/>
                <w:sz w:val="22"/>
              </w:rPr>
              <w:t>1</w:t>
            </w:r>
            <w:r w:rsidR="00736439">
              <w:rPr>
                <w:b/>
                <w:sz w:val="22"/>
              </w:rPr>
              <w:t>3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736439">
              <w:rPr>
                <w:b/>
                <w:sz w:val="22"/>
              </w:rPr>
              <w:t>26</w:t>
            </w:r>
            <w:r w:rsidR="00EA4381">
              <w:rPr>
                <w:b/>
                <w:sz w:val="22"/>
              </w:rPr>
              <w:t xml:space="preserve">. </w:t>
            </w:r>
            <w:r w:rsidR="00736439">
              <w:rPr>
                <w:b/>
                <w:sz w:val="22"/>
              </w:rPr>
              <w:t>4</w:t>
            </w:r>
            <w:r w:rsidR="00EA4381">
              <w:rPr>
                <w:b/>
                <w:sz w:val="22"/>
              </w:rPr>
              <w:t xml:space="preserve">. </w:t>
            </w:r>
            <w:r w:rsidR="00BD2ED1">
              <w:rPr>
                <w:b/>
                <w:sz w:val="22"/>
              </w:rPr>
              <w:t>202</w:t>
            </w:r>
            <w:r w:rsidR="001B6D9C">
              <w:rPr>
                <w:b/>
                <w:sz w:val="22"/>
              </w:rPr>
              <w:t>2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</w:t>
            </w:r>
            <w:r w:rsidR="001B6D9C">
              <w:rPr>
                <w:b/>
                <w:sz w:val="22"/>
              </w:rPr>
              <w:t>e</w:t>
            </w:r>
            <w:r w:rsidR="00BD2ED1">
              <w:rPr>
                <w:b/>
                <w:sz w:val="22"/>
              </w:rPr>
              <w:t> 1</w:t>
            </w:r>
            <w:r w:rsidR="001B6D9C"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 (dále “</w:t>
            </w:r>
            <w:r w:rsidR="00BD2ED1">
              <w:rPr>
                <w:b/>
                <w:sz w:val="22"/>
              </w:rPr>
              <w:t>KUC</w:t>
            </w:r>
            <w:r w:rsidR="007877B6">
              <w:rPr>
                <w:b/>
                <w:sz w:val="22"/>
              </w:rPr>
              <w:t xml:space="preserve"> MHMP“)</w:t>
            </w:r>
            <w:r w:rsidR="00BD2ED1">
              <w:rPr>
                <w:b/>
                <w:sz w:val="22"/>
              </w:rPr>
              <w:t xml:space="preserve"> 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a virtuálně formou videokonference</w:t>
            </w:r>
          </w:p>
          <w:p w14:paraId="0212CA0E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4FD6CDF4" w14:textId="77777777" w:rsidTr="00833757">
        <w:trPr>
          <w:trHeight w:hRule="exact" w:val="440"/>
        </w:trPr>
        <w:tc>
          <w:tcPr>
            <w:tcW w:w="1063" w:type="dxa"/>
            <w:shd w:val="clear" w:color="auto" w:fill="auto"/>
            <w:vAlign w:val="center"/>
          </w:tcPr>
          <w:p w14:paraId="56262D93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1AF41D0" w14:textId="062978BA" w:rsidR="00F105E0" w:rsidRPr="00EE1B51" w:rsidRDefault="001B6D9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>Mgr. Andrea Skorkovská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B7C8123" w14:textId="77777777" w:rsidR="00F105E0" w:rsidRPr="00EE1B51" w:rsidRDefault="00F105E0">
            <w:pPr>
              <w:rPr>
                <w:sz w:val="22"/>
              </w:rPr>
            </w:pPr>
            <w:r w:rsidRPr="00900E52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D483" w14:textId="573322E3" w:rsidR="00F105E0" w:rsidRPr="00EE1B51" w:rsidRDefault="00F36EF8" w:rsidP="00A96CB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 xml:space="preserve"> </w:t>
            </w:r>
            <w:r w:rsidR="00900E52">
              <w:rPr>
                <w:b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506C595" w14:textId="46165776" w:rsidR="00F105E0" w:rsidRPr="00F3023E" w:rsidRDefault="00736439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6B065D">
              <w:rPr>
                <w:b/>
                <w:sz w:val="22"/>
              </w:rPr>
              <w:t>9</w:t>
            </w:r>
            <w:r w:rsidR="004D66D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>.202</w:t>
            </w:r>
            <w:r w:rsidR="001B6D9C">
              <w:rPr>
                <w:b/>
                <w:sz w:val="22"/>
              </w:rPr>
              <w:t>2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69496898" w14:textId="6CBBC258" w:rsidR="00983BD8" w:rsidRPr="00447233" w:rsidRDefault="00735D6A" w:rsidP="00983BD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</w:t>
      </w:r>
      <w:r w:rsidRPr="00BD2ED1">
        <w:rPr>
          <w:rFonts w:eastAsia="Calibri"/>
          <w:sz w:val="22"/>
          <w:szCs w:val="22"/>
          <w:lang w:eastAsia="en-US"/>
        </w:rPr>
        <w:t>byla usnášení schopná</w:t>
      </w:r>
      <w:r>
        <w:rPr>
          <w:rFonts w:eastAsia="Calibri"/>
          <w:sz w:val="22"/>
          <w:szCs w:val="22"/>
          <w:lang w:eastAsia="en-US"/>
        </w:rPr>
        <w:t xml:space="preserve">. Sešla se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 w:rsidR="00736439">
        <w:rPr>
          <w:rFonts w:eastAsia="Calibri"/>
          <w:sz w:val="22"/>
          <w:szCs w:val="22"/>
          <w:lang w:eastAsia="en-US"/>
        </w:rPr>
        <w:t>7</w:t>
      </w:r>
      <w:r w:rsidRPr="000B0EEF">
        <w:rPr>
          <w:rFonts w:eastAsia="Calibri"/>
          <w:sz w:val="22"/>
          <w:szCs w:val="22"/>
          <w:lang w:eastAsia="en-US"/>
        </w:rPr>
        <w:t xml:space="preserve"> osob</w:t>
      </w:r>
      <w:r>
        <w:rPr>
          <w:rFonts w:eastAsia="Calibri"/>
          <w:sz w:val="22"/>
          <w:szCs w:val="22"/>
          <w:lang w:eastAsia="en-US"/>
        </w:rPr>
        <w:t>,</w:t>
      </w:r>
      <w:r w:rsidR="00736439">
        <w:rPr>
          <w:rFonts w:eastAsia="Calibri"/>
          <w:sz w:val="22"/>
          <w:szCs w:val="22"/>
          <w:lang w:eastAsia="en-US"/>
        </w:rPr>
        <w:t xml:space="preserve"> resp. 8</w:t>
      </w:r>
      <w:r>
        <w:rPr>
          <w:rFonts w:eastAsia="Calibri"/>
          <w:sz w:val="22"/>
          <w:szCs w:val="22"/>
          <w:lang w:eastAsia="en-US"/>
        </w:rPr>
        <w:t xml:space="preserve"> (</w:t>
      </w:r>
      <w:r w:rsidR="00736439">
        <w:rPr>
          <w:rFonts w:eastAsia="Calibri"/>
          <w:sz w:val="22"/>
          <w:szCs w:val="22"/>
          <w:lang w:eastAsia="en-US"/>
        </w:rPr>
        <w:t xml:space="preserve">později </w:t>
      </w:r>
      <w:r>
        <w:rPr>
          <w:rFonts w:eastAsia="Calibri"/>
          <w:sz w:val="22"/>
          <w:szCs w:val="22"/>
          <w:lang w:eastAsia="en-US"/>
        </w:rPr>
        <w:t>ve 14.</w:t>
      </w:r>
      <w:r w:rsidR="00736439">
        <w:rPr>
          <w:rFonts w:eastAsia="Calibri"/>
          <w:sz w:val="22"/>
          <w:szCs w:val="22"/>
          <w:lang w:eastAsia="en-US"/>
        </w:rPr>
        <w:t>40</w:t>
      </w:r>
      <w:r>
        <w:rPr>
          <w:rFonts w:eastAsia="Calibri"/>
          <w:sz w:val="22"/>
          <w:szCs w:val="22"/>
          <w:lang w:eastAsia="en-US"/>
        </w:rPr>
        <w:t xml:space="preserve"> se připojil </w:t>
      </w:r>
      <w:r w:rsidRPr="00447233">
        <w:rPr>
          <w:rFonts w:eastAsia="Calibri"/>
          <w:sz w:val="22"/>
          <w:szCs w:val="22"/>
          <w:lang w:eastAsia="en-US"/>
        </w:rPr>
        <w:t>MgA. Jiří Sulženko</w:t>
      </w:r>
      <w:r>
        <w:rPr>
          <w:rFonts w:eastAsia="Calibri"/>
          <w:sz w:val="22"/>
          <w:szCs w:val="22"/>
          <w:lang w:eastAsia="en-US"/>
        </w:rPr>
        <w:t>, Ph.D.)</w:t>
      </w:r>
      <w:r w:rsidRPr="00BD2ED1">
        <w:rPr>
          <w:rFonts w:eastAsia="Calibri"/>
          <w:sz w:val="22"/>
          <w:szCs w:val="22"/>
          <w:lang w:eastAsia="en-US"/>
        </w:rPr>
        <w:t>. Jednání Komise probíhalo kombinovanou formou osobní účasti členů a videokonference</w:t>
      </w:r>
      <w:r>
        <w:rPr>
          <w:rFonts w:eastAsia="Calibri"/>
          <w:sz w:val="22"/>
          <w:szCs w:val="22"/>
          <w:lang w:eastAsia="en-US"/>
        </w:rPr>
        <w:t xml:space="preserve"> prostřednictvím aplikace Cisco </w:t>
      </w:r>
      <w:proofErr w:type="spellStart"/>
      <w:r>
        <w:rPr>
          <w:rFonts w:eastAsia="Calibri"/>
          <w:sz w:val="22"/>
          <w:szCs w:val="22"/>
          <w:lang w:eastAsia="en-US"/>
        </w:rPr>
        <w:t>Webex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  <w:r w:rsidR="00983BD8" w:rsidRPr="00447233">
        <w:rPr>
          <w:rFonts w:eastAsia="Calibri"/>
          <w:sz w:val="22"/>
          <w:szCs w:val="22"/>
          <w:lang w:eastAsia="en-US"/>
        </w:rPr>
        <w:t xml:space="preserve">Osobně se jednání účastnili: Mgr. Martin Benda, </w:t>
      </w:r>
      <w:r w:rsidR="00983BD8">
        <w:rPr>
          <w:rFonts w:eastAsia="Calibri"/>
          <w:sz w:val="22"/>
          <w:szCs w:val="22"/>
          <w:lang w:eastAsia="en-US"/>
        </w:rPr>
        <w:t>I</w:t>
      </w:r>
      <w:r w:rsidR="00983BD8" w:rsidRPr="00447233">
        <w:rPr>
          <w:rFonts w:eastAsia="Calibri"/>
          <w:sz w:val="22"/>
          <w:szCs w:val="22"/>
          <w:lang w:eastAsia="en-US"/>
        </w:rPr>
        <w:t>ng. Iveta Jechová</w:t>
      </w:r>
      <w:r w:rsidR="00983BD8">
        <w:rPr>
          <w:rFonts w:eastAsia="Calibri"/>
          <w:sz w:val="22"/>
          <w:szCs w:val="22"/>
          <w:lang w:eastAsia="en-US"/>
        </w:rPr>
        <w:t xml:space="preserve">, </w:t>
      </w:r>
      <w:r w:rsidR="00983BD8" w:rsidRPr="00447233">
        <w:rPr>
          <w:rFonts w:eastAsia="Calibri"/>
          <w:sz w:val="22"/>
          <w:szCs w:val="22"/>
          <w:lang w:eastAsia="en-US"/>
        </w:rPr>
        <w:t>Michal Veber</w:t>
      </w:r>
      <w:r w:rsidR="00983BD8">
        <w:rPr>
          <w:rFonts w:eastAsia="Calibri"/>
          <w:sz w:val="22"/>
          <w:szCs w:val="22"/>
          <w:lang w:eastAsia="en-US"/>
        </w:rPr>
        <w:t xml:space="preserve">, od 14:40 </w:t>
      </w:r>
      <w:r w:rsidR="00983BD8" w:rsidRPr="008B4166">
        <w:rPr>
          <w:rFonts w:eastAsia="Calibri"/>
          <w:sz w:val="22"/>
          <w:szCs w:val="22"/>
          <w:lang w:eastAsia="en-US"/>
        </w:rPr>
        <w:t>MgA. Jiří Sulženko, Ph.D.</w:t>
      </w:r>
    </w:p>
    <w:p w14:paraId="3F76F2A8" w14:textId="792DDA3D" w:rsidR="00735D6A" w:rsidRDefault="00983BD8" w:rsidP="00983BD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47233">
        <w:rPr>
          <w:rFonts w:eastAsia="Calibri"/>
          <w:sz w:val="22"/>
          <w:szCs w:val="22"/>
          <w:lang w:eastAsia="en-US"/>
        </w:rPr>
        <w:t>Formou videokonference se účastnili: Mgr. František Cipro, JUDr. Robert Pecka</w:t>
      </w:r>
      <w:r>
        <w:rPr>
          <w:rFonts w:eastAsia="Calibri"/>
          <w:sz w:val="22"/>
          <w:szCs w:val="22"/>
          <w:lang w:eastAsia="en-US"/>
        </w:rPr>
        <w:t>,</w:t>
      </w:r>
      <w:r w:rsidRPr="00447233">
        <w:rPr>
          <w:rFonts w:eastAsia="Calibri"/>
          <w:sz w:val="22"/>
          <w:szCs w:val="22"/>
          <w:lang w:eastAsia="en-US"/>
        </w:rPr>
        <w:t xml:space="preserve"> Ing. Otakar John, Zdena Štěpánková</w:t>
      </w:r>
      <w:r>
        <w:rPr>
          <w:rFonts w:eastAsia="Calibri"/>
          <w:sz w:val="22"/>
          <w:szCs w:val="22"/>
          <w:lang w:eastAsia="en-US"/>
        </w:rPr>
        <w:t>.</w:t>
      </w:r>
    </w:p>
    <w:p w14:paraId="6F1A5469" w14:textId="2CB2A6AC" w:rsidR="00983BD8" w:rsidRDefault="00983BD8" w:rsidP="00983BD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Jako host</w:t>
      </w:r>
      <w:r w:rsidR="00833757">
        <w:rPr>
          <w:rFonts w:eastAsia="Calibri"/>
          <w:sz w:val="22"/>
          <w:szCs w:val="22"/>
          <w:lang w:eastAsia="en-US"/>
        </w:rPr>
        <w:t>é</w:t>
      </w:r>
      <w:r>
        <w:rPr>
          <w:rFonts w:eastAsia="Calibri"/>
          <w:sz w:val="22"/>
          <w:szCs w:val="22"/>
          <w:lang w:eastAsia="en-US"/>
        </w:rPr>
        <w:t xml:space="preserve"> pak Bc. Roman Muška </w:t>
      </w:r>
      <w:r w:rsidR="003A6BEB" w:rsidRPr="003A6BEB">
        <w:rPr>
          <w:rFonts w:eastAsia="Calibri"/>
          <w:sz w:val="22"/>
          <w:szCs w:val="22"/>
          <w:lang w:eastAsia="en-US"/>
        </w:rPr>
        <w:t xml:space="preserve">(ředitel Prague </w:t>
      </w:r>
      <w:proofErr w:type="spellStart"/>
      <w:r w:rsidR="003A6BEB" w:rsidRPr="003A6BEB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3A6BEB" w:rsidRPr="003A6BE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="003A6BEB" w:rsidRPr="003A6BEB">
        <w:rPr>
          <w:rFonts w:eastAsia="Calibri"/>
          <w:sz w:val="22"/>
          <w:szCs w:val="22"/>
          <w:lang w:eastAsia="en-US"/>
        </w:rPr>
        <w:t>Bureau</w:t>
      </w:r>
      <w:proofErr w:type="spellEnd"/>
      <w:r w:rsidR="003A6BEB" w:rsidRPr="003A6BEB">
        <w:rPr>
          <w:rFonts w:eastAsia="Calibri"/>
          <w:sz w:val="22"/>
          <w:szCs w:val="22"/>
          <w:lang w:eastAsia="en-US"/>
        </w:rPr>
        <w:t>)</w:t>
      </w:r>
      <w:r w:rsidR="00833757">
        <w:rPr>
          <w:rFonts w:eastAsia="Calibri"/>
          <w:sz w:val="22"/>
          <w:szCs w:val="22"/>
          <w:lang w:eastAsia="en-US"/>
        </w:rPr>
        <w:t>-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r w:rsidR="00833757">
        <w:rPr>
          <w:rFonts w:eastAsia="Calibri"/>
          <w:sz w:val="22"/>
          <w:szCs w:val="22"/>
          <w:lang w:eastAsia="en-US"/>
        </w:rPr>
        <w:t xml:space="preserve">osobně </w:t>
      </w:r>
      <w:r>
        <w:rPr>
          <w:rFonts w:eastAsia="Calibri"/>
          <w:sz w:val="22"/>
          <w:szCs w:val="22"/>
          <w:lang w:eastAsia="en-US"/>
        </w:rPr>
        <w:t xml:space="preserve">a </w:t>
      </w:r>
      <w:r w:rsidRPr="00983BD8">
        <w:rPr>
          <w:rFonts w:eastAsia="Calibri"/>
          <w:sz w:val="22"/>
          <w:szCs w:val="22"/>
          <w:lang w:eastAsia="en-US"/>
        </w:rPr>
        <w:t>Ing. et Ing. Jana Berková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Pr="00983BD8">
        <w:rPr>
          <w:rFonts w:eastAsia="Calibri"/>
          <w:sz w:val="22"/>
          <w:szCs w:val="22"/>
          <w:lang w:eastAsia="en-US"/>
        </w:rPr>
        <w:t>ředitelka odboru médií a marketingu</w:t>
      </w:r>
      <w:r>
        <w:rPr>
          <w:rFonts w:eastAsia="Calibri"/>
          <w:sz w:val="22"/>
          <w:szCs w:val="22"/>
          <w:lang w:eastAsia="en-US"/>
        </w:rPr>
        <w:t xml:space="preserve"> MHMP – formou videokonference.</w:t>
      </w:r>
    </w:p>
    <w:p w14:paraId="4CCB7B44" w14:textId="77777777" w:rsidR="002133F1" w:rsidRDefault="002133F1" w:rsidP="007B75C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E2720D5" w14:textId="0CFFCF97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  <w:r w:rsidRPr="00447233">
        <w:rPr>
          <w:rFonts w:eastAsia="Calibri"/>
          <w:b/>
          <w:sz w:val="28"/>
          <w:szCs w:val="28"/>
          <w:lang w:eastAsia="en-US"/>
        </w:rPr>
        <w:t>Průběh jednání</w:t>
      </w:r>
    </w:p>
    <w:p w14:paraId="3E238FC7" w14:textId="1E62E8AE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0A5F2F9D" w14:textId="11052241" w:rsidR="00BD2ED1" w:rsidRPr="0044723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47233">
        <w:rPr>
          <w:rFonts w:eastAsia="Calibri"/>
          <w:sz w:val="22"/>
          <w:szCs w:val="22"/>
          <w:lang w:eastAsia="en-US"/>
        </w:rPr>
        <w:t xml:space="preserve">Komise, pan Mgr. Martin Benda (dále „předseda“), </w:t>
      </w:r>
      <w:r>
        <w:rPr>
          <w:rFonts w:eastAsia="Calibri"/>
          <w:sz w:val="22"/>
          <w:szCs w:val="22"/>
          <w:lang w:eastAsia="en-US"/>
        </w:rPr>
        <w:t>přivítal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  <w:r w:rsidR="00983BD8">
        <w:rPr>
          <w:rFonts w:eastAsia="Calibri"/>
          <w:sz w:val="22"/>
          <w:szCs w:val="22"/>
          <w:lang w:eastAsia="en-US"/>
        </w:rPr>
        <w:t>členy Komise účastnící se osobně i formou videokonference,</w:t>
      </w:r>
      <w:r w:rsidR="00447233">
        <w:rPr>
          <w:rFonts w:eastAsia="Calibri"/>
          <w:sz w:val="22"/>
          <w:szCs w:val="22"/>
          <w:lang w:eastAsia="en-US"/>
        </w:rPr>
        <w:t xml:space="preserve"> </w:t>
      </w:r>
      <w:r w:rsidR="00983BD8">
        <w:rPr>
          <w:rFonts w:eastAsia="Calibri"/>
          <w:sz w:val="22"/>
          <w:szCs w:val="22"/>
          <w:lang w:eastAsia="en-US"/>
        </w:rPr>
        <w:t xml:space="preserve">omluvil </w:t>
      </w:r>
      <w:r w:rsidR="00983BD8" w:rsidRPr="00EA4381">
        <w:rPr>
          <w:rFonts w:eastAsia="Calibri"/>
          <w:sz w:val="22"/>
          <w:szCs w:val="22"/>
          <w:lang w:eastAsia="en-US"/>
        </w:rPr>
        <w:t>Ing. Jiří</w:t>
      </w:r>
      <w:r w:rsidR="00983BD8">
        <w:rPr>
          <w:rFonts w:eastAsia="Calibri"/>
          <w:sz w:val="22"/>
          <w:szCs w:val="22"/>
          <w:lang w:eastAsia="en-US"/>
        </w:rPr>
        <w:t>ho</w:t>
      </w:r>
      <w:r w:rsidR="00983BD8" w:rsidRPr="00EA4381">
        <w:rPr>
          <w:rFonts w:eastAsia="Calibri"/>
          <w:sz w:val="22"/>
          <w:szCs w:val="22"/>
          <w:lang w:eastAsia="en-US"/>
        </w:rPr>
        <w:t xml:space="preserve"> Stýbl</w:t>
      </w:r>
      <w:r w:rsidR="00983BD8">
        <w:rPr>
          <w:rFonts w:eastAsia="Calibri"/>
          <w:sz w:val="22"/>
          <w:szCs w:val="22"/>
          <w:lang w:eastAsia="en-US"/>
        </w:rPr>
        <w:t xml:space="preserve">a z celého jednání a </w:t>
      </w:r>
      <w:r w:rsidR="002133F1">
        <w:rPr>
          <w:rFonts w:eastAsia="Calibri"/>
          <w:sz w:val="22"/>
          <w:szCs w:val="22"/>
          <w:lang w:eastAsia="en-US"/>
        </w:rPr>
        <w:t xml:space="preserve">z počátku zasedání </w:t>
      </w:r>
      <w:r w:rsidR="00983BD8">
        <w:rPr>
          <w:rFonts w:eastAsia="Calibri"/>
          <w:sz w:val="22"/>
          <w:szCs w:val="22"/>
          <w:lang w:eastAsia="en-US"/>
        </w:rPr>
        <w:t xml:space="preserve">ředitele </w:t>
      </w:r>
      <w:r w:rsidR="003A6BEB">
        <w:rPr>
          <w:rFonts w:eastAsia="Calibri"/>
          <w:sz w:val="22"/>
          <w:szCs w:val="22"/>
          <w:lang w:eastAsia="en-US"/>
        </w:rPr>
        <w:t xml:space="preserve">odboru kultury a cestovního ruchu MHMP (dále „KUC MHMP“) MgA. Jiřího </w:t>
      </w:r>
      <w:proofErr w:type="spellStart"/>
      <w:r w:rsidR="00983BD8">
        <w:rPr>
          <w:rFonts w:eastAsia="Calibri"/>
          <w:sz w:val="22"/>
          <w:szCs w:val="22"/>
          <w:lang w:eastAsia="en-US"/>
        </w:rPr>
        <w:t>Sulženka</w:t>
      </w:r>
      <w:proofErr w:type="spellEnd"/>
      <w:r w:rsidR="003A6BEB">
        <w:rPr>
          <w:rFonts w:eastAsia="Calibri"/>
          <w:sz w:val="22"/>
          <w:szCs w:val="22"/>
          <w:lang w:eastAsia="en-US"/>
        </w:rPr>
        <w:t>, Ph.D.</w:t>
      </w:r>
      <w:r w:rsidRPr="00447233">
        <w:rPr>
          <w:rFonts w:eastAsia="Calibri"/>
          <w:sz w:val="22"/>
          <w:szCs w:val="22"/>
          <w:lang w:eastAsia="en-US"/>
        </w:rPr>
        <w:t xml:space="preserve"> </w:t>
      </w:r>
      <w:r w:rsidR="00F665E6">
        <w:rPr>
          <w:rFonts w:eastAsia="Calibri"/>
          <w:sz w:val="22"/>
          <w:szCs w:val="22"/>
          <w:lang w:eastAsia="en-US"/>
        </w:rPr>
        <w:t>Zároveň přivítal i hosty</w:t>
      </w:r>
      <w:r w:rsidR="00B0332D">
        <w:rPr>
          <w:rFonts w:eastAsia="Calibri"/>
          <w:sz w:val="22"/>
          <w:szCs w:val="22"/>
          <w:lang w:eastAsia="en-US"/>
        </w:rPr>
        <w:t>,</w:t>
      </w:r>
      <w:r w:rsidR="00F665E6">
        <w:rPr>
          <w:rFonts w:eastAsia="Calibri"/>
          <w:sz w:val="22"/>
          <w:szCs w:val="22"/>
          <w:lang w:eastAsia="en-US"/>
        </w:rPr>
        <w:t xml:space="preserve"> Bc. Roman</w:t>
      </w:r>
      <w:r w:rsidR="00B0332D">
        <w:rPr>
          <w:rFonts w:eastAsia="Calibri"/>
          <w:sz w:val="22"/>
          <w:szCs w:val="22"/>
          <w:lang w:eastAsia="en-US"/>
        </w:rPr>
        <w:t>a</w:t>
      </w:r>
      <w:r w:rsidR="00F665E6">
        <w:rPr>
          <w:rFonts w:eastAsia="Calibri"/>
          <w:sz w:val="22"/>
          <w:szCs w:val="22"/>
          <w:lang w:eastAsia="en-US"/>
        </w:rPr>
        <w:t xml:space="preserve"> Mušk</w:t>
      </w:r>
      <w:r w:rsidR="00B0332D">
        <w:rPr>
          <w:rFonts w:eastAsia="Calibri"/>
          <w:sz w:val="22"/>
          <w:szCs w:val="22"/>
          <w:lang w:eastAsia="en-US"/>
        </w:rPr>
        <w:t>u</w:t>
      </w:r>
      <w:r w:rsidR="00F665E6">
        <w:rPr>
          <w:rFonts w:eastAsia="Calibri"/>
          <w:sz w:val="22"/>
          <w:szCs w:val="22"/>
          <w:lang w:eastAsia="en-US"/>
        </w:rPr>
        <w:t>, ředitel</w:t>
      </w:r>
      <w:r w:rsidR="00B0332D">
        <w:rPr>
          <w:rFonts w:eastAsia="Calibri"/>
          <w:sz w:val="22"/>
          <w:szCs w:val="22"/>
          <w:lang w:eastAsia="en-US"/>
        </w:rPr>
        <w:t>e</w:t>
      </w:r>
      <w:r w:rsidR="00F665E6">
        <w:rPr>
          <w:rFonts w:eastAsia="Calibri"/>
          <w:sz w:val="22"/>
          <w:szCs w:val="22"/>
          <w:lang w:eastAsia="en-US"/>
        </w:rPr>
        <w:t xml:space="preserve"> Prague </w:t>
      </w:r>
      <w:proofErr w:type="spellStart"/>
      <w:r w:rsidR="00F665E6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F665E6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F665E6">
        <w:rPr>
          <w:rFonts w:eastAsia="Calibri"/>
          <w:sz w:val="22"/>
          <w:szCs w:val="22"/>
          <w:lang w:eastAsia="en-US"/>
        </w:rPr>
        <w:t>Bureau</w:t>
      </w:r>
      <w:proofErr w:type="spellEnd"/>
      <w:r w:rsidR="00F665E6">
        <w:rPr>
          <w:rFonts w:eastAsia="Calibri"/>
          <w:sz w:val="22"/>
          <w:szCs w:val="22"/>
          <w:lang w:eastAsia="en-US"/>
        </w:rPr>
        <w:t xml:space="preserve"> </w:t>
      </w:r>
      <w:r w:rsidR="00B0332D">
        <w:rPr>
          <w:rFonts w:eastAsia="Calibri"/>
          <w:sz w:val="22"/>
          <w:szCs w:val="22"/>
          <w:lang w:eastAsia="en-US"/>
        </w:rPr>
        <w:t>(</w:t>
      </w:r>
      <w:r w:rsidR="002133F1">
        <w:rPr>
          <w:rFonts w:eastAsia="Calibri"/>
          <w:sz w:val="22"/>
          <w:szCs w:val="22"/>
          <w:lang w:eastAsia="en-US"/>
        </w:rPr>
        <w:t xml:space="preserve">který se účastnil </w:t>
      </w:r>
      <w:r w:rsidR="00F665E6">
        <w:rPr>
          <w:rFonts w:eastAsia="Calibri"/>
          <w:sz w:val="22"/>
          <w:szCs w:val="22"/>
          <w:lang w:eastAsia="en-US"/>
        </w:rPr>
        <w:t>osobně v zasedací místnosti KUC MHMP</w:t>
      </w:r>
      <w:r w:rsidR="00B0332D">
        <w:rPr>
          <w:rFonts w:eastAsia="Calibri"/>
          <w:sz w:val="22"/>
          <w:szCs w:val="22"/>
          <w:lang w:eastAsia="en-US"/>
        </w:rPr>
        <w:t>)</w:t>
      </w:r>
      <w:r w:rsidR="00F665E6">
        <w:rPr>
          <w:rFonts w:eastAsia="Calibri"/>
          <w:sz w:val="22"/>
          <w:szCs w:val="22"/>
          <w:lang w:eastAsia="en-US"/>
        </w:rPr>
        <w:t xml:space="preserve"> a </w:t>
      </w:r>
      <w:r w:rsidR="00F665E6" w:rsidRPr="00983BD8">
        <w:rPr>
          <w:rFonts w:eastAsia="Calibri"/>
          <w:sz w:val="22"/>
          <w:szCs w:val="22"/>
          <w:lang w:eastAsia="en-US"/>
        </w:rPr>
        <w:t>Ing. et Ing. Jan</w:t>
      </w:r>
      <w:r w:rsidR="00B0332D">
        <w:rPr>
          <w:rFonts w:eastAsia="Calibri"/>
          <w:sz w:val="22"/>
          <w:szCs w:val="22"/>
          <w:lang w:eastAsia="en-US"/>
        </w:rPr>
        <w:t>u</w:t>
      </w:r>
      <w:r w:rsidR="00F665E6" w:rsidRPr="00983BD8">
        <w:rPr>
          <w:rFonts w:eastAsia="Calibri"/>
          <w:sz w:val="22"/>
          <w:szCs w:val="22"/>
          <w:lang w:eastAsia="en-US"/>
        </w:rPr>
        <w:t xml:space="preserve"> Berkov</w:t>
      </w:r>
      <w:r w:rsidR="00B0332D">
        <w:rPr>
          <w:rFonts w:eastAsia="Calibri"/>
          <w:sz w:val="22"/>
          <w:szCs w:val="22"/>
          <w:lang w:eastAsia="en-US"/>
        </w:rPr>
        <w:t>ou</w:t>
      </w:r>
      <w:r w:rsidR="00F665E6">
        <w:rPr>
          <w:rFonts w:eastAsia="Calibri"/>
          <w:sz w:val="22"/>
          <w:szCs w:val="22"/>
          <w:lang w:eastAsia="en-US"/>
        </w:rPr>
        <w:t xml:space="preserve">, </w:t>
      </w:r>
      <w:r w:rsidR="00F665E6" w:rsidRPr="00983BD8">
        <w:rPr>
          <w:rFonts w:eastAsia="Calibri"/>
          <w:sz w:val="22"/>
          <w:szCs w:val="22"/>
          <w:lang w:eastAsia="en-US"/>
        </w:rPr>
        <w:t>ředitelk</w:t>
      </w:r>
      <w:r w:rsidR="00B0332D">
        <w:rPr>
          <w:rFonts w:eastAsia="Calibri"/>
          <w:sz w:val="22"/>
          <w:szCs w:val="22"/>
          <w:lang w:eastAsia="en-US"/>
        </w:rPr>
        <w:t>u</w:t>
      </w:r>
      <w:r w:rsidR="00F665E6" w:rsidRPr="00983BD8">
        <w:rPr>
          <w:rFonts w:eastAsia="Calibri"/>
          <w:sz w:val="22"/>
          <w:szCs w:val="22"/>
          <w:lang w:eastAsia="en-US"/>
        </w:rPr>
        <w:t xml:space="preserve"> odboru médií a marketingu</w:t>
      </w:r>
      <w:r w:rsidR="00F665E6">
        <w:rPr>
          <w:rFonts w:eastAsia="Calibri"/>
          <w:sz w:val="22"/>
          <w:szCs w:val="22"/>
          <w:lang w:eastAsia="en-US"/>
        </w:rPr>
        <w:t xml:space="preserve"> MHMP </w:t>
      </w:r>
      <w:r w:rsidR="002133F1">
        <w:rPr>
          <w:rFonts w:eastAsia="Calibri"/>
          <w:sz w:val="22"/>
          <w:szCs w:val="22"/>
          <w:lang w:eastAsia="en-US"/>
        </w:rPr>
        <w:t xml:space="preserve">(dále „OMM MHMP“) - účast </w:t>
      </w:r>
      <w:r w:rsidR="00F665E6">
        <w:rPr>
          <w:rFonts w:eastAsia="Calibri"/>
          <w:sz w:val="22"/>
          <w:szCs w:val="22"/>
          <w:lang w:eastAsia="en-US"/>
        </w:rPr>
        <w:t>formou videokonference.</w:t>
      </w:r>
      <w:r w:rsidR="00F665E6" w:rsidRPr="00F665E6">
        <w:rPr>
          <w:rFonts w:eastAsia="Calibri"/>
          <w:sz w:val="22"/>
          <w:szCs w:val="22"/>
          <w:lang w:eastAsia="en-US"/>
        </w:rPr>
        <w:t xml:space="preserve"> </w:t>
      </w:r>
      <w:r w:rsidR="00F665E6"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 w:rsidR="00F665E6">
        <w:rPr>
          <w:rFonts w:eastAsia="Calibri"/>
          <w:sz w:val="22"/>
          <w:szCs w:val="22"/>
          <w:lang w:eastAsia="en-US"/>
        </w:rPr>
        <w:t>.</w:t>
      </w:r>
    </w:p>
    <w:p w14:paraId="66408F13" w14:textId="19238C7E" w:rsidR="000B0EEF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Předseda následně </w:t>
      </w:r>
      <w:r w:rsidR="0071217E">
        <w:rPr>
          <w:rFonts w:eastAsia="Calibri"/>
          <w:sz w:val="22"/>
          <w:szCs w:val="22"/>
          <w:lang w:eastAsia="en-US"/>
        </w:rPr>
        <w:t>zrekapituloval program jednání, který byl členům zaslán předem elektronicky.</w:t>
      </w:r>
      <w:r w:rsidR="00B0332D">
        <w:rPr>
          <w:rFonts w:eastAsia="Calibri"/>
          <w:sz w:val="22"/>
          <w:szCs w:val="22"/>
          <w:lang w:eastAsia="en-US"/>
        </w:rPr>
        <w:t xml:space="preserve"> </w:t>
      </w:r>
      <w:r w:rsidR="0071217E">
        <w:rPr>
          <w:rFonts w:eastAsia="Calibri"/>
          <w:sz w:val="22"/>
          <w:szCs w:val="22"/>
          <w:lang w:eastAsia="en-US"/>
        </w:rPr>
        <w:t xml:space="preserve">Nikdo z členů neměl k programu připomínky. </w:t>
      </w:r>
      <w:r w:rsidR="00B0332D">
        <w:rPr>
          <w:rFonts w:eastAsia="Calibri"/>
          <w:sz w:val="22"/>
          <w:szCs w:val="22"/>
          <w:lang w:eastAsia="en-US"/>
        </w:rPr>
        <w:t>V</w:t>
      </w:r>
      <w:r w:rsidR="00F665E6">
        <w:rPr>
          <w:rFonts w:eastAsia="Calibri"/>
          <w:sz w:val="22"/>
          <w:szCs w:val="22"/>
          <w:lang w:eastAsia="en-US"/>
        </w:rPr>
        <w:t>zhledem k</w:t>
      </w:r>
      <w:r w:rsidR="00B0332D">
        <w:rPr>
          <w:rFonts w:eastAsia="Calibri"/>
          <w:sz w:val="22"/>
          <w:szCs w:val="22"/>
          <w:lang w:eastAsia="en-US"/>
        </w:rPr>
        <w:t> dalším pracovním povinnostem</w:t>
      </w:r>
      <w:r w:rsidR="00F665E6">
        <w:rPr>
          <w:rFonts w:eastAsia="Calibri"/>
          <w:sz w:val="22"/>
          <w:szCs w:val="22"/>
          <w:lang w:eastAsia="en-US"/>
        </w:rPr>
        <w:t xml:space="preserve"> paní ředitelky Berkové požádal o předřazení bodu 3 </w:t>
      </w:r>
      <w:proofErr w:type="gramStart"/>
      <w:r w:rsidR="00F665E6">
        <w:rPr>
          <w:rFonts w:eastAsia="Calibri"/>
          <w:sz w:val="22"/>
          <w:szCs w:val="22"/>
          <w:lang w:eastAsia="en-US"/>
        </w:rPr>
        <w:t xml:space="preserve">programu - </w:t>
      </w:r>
      <w:r w:rsidR="00F665E6" w:rsidRPr="00B0332D">
        <w:rPr>
          <w:rFonts w:eastAsia="Calibri"/>
          <w:i/>
          <w:iCs/>
          <w:sz w:val="22"/>
          <w:szCs w:val="22"/>
          <w:lang w:eastAsia="en-US"/>
        </w:rPr>
        <w:t>Propagace</w:t>
      </w:r>
      <w:proofErr w:type="gramEnd"/>
      <w:r w:rsidR="00F665E6" w:rsidRPr="00B0332D">
        <w:rPr>
          <w:rFonts w:eastAsia="Calibri"/>
          <w:i/>
          <w:iCs/>
          <w:sz w:val="22"/>
          <w:szCs w:val="22"/>
          <w:lang w:eastAsia="en-US"/>
        </w:rPr>
        <w:t xml:space="preserve"> hl. m. Prahy v kontextu Veřejnoprávní smlouvy o poskytnutí neinvestiční dotace v rámci Programu podpory cestovního ruchu pro rok 2023 (čl. VI., bod 8).</w:t>
      </w:r>
      <w:r w:rsidR="00F665E6">
        <w:rPr>
          <w:rFonts w:eastAsia="Calibri"/>
          <w:sz w:val="22"/>
          <w:szCs w:val="22"/>
          <w:lang w:eastAsia="en-US"/>
        </w:rPr>
        <w:t xml:space="preserve"> Členové Komise souhlasili.</w:t>
      </w:r>
    </w:p>
    <w:p w14:paraId="054D1327" w14:textId="77777777" w:rsidR="008B4166" w:rsidRDefault="008B416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5151731" w14:textId="2E79F3AC" w:rsidR="00F665E6" w:rsidRDefault="00EA4381" w:rsidP="00F665E6">
      <w:pP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="00F665E6" w:rsidRPr="00F665E6">
        <w:rPr>
          <w:b/>
          <w:bCs/>
          <w:sz w:val="28"/>
          <w:szCs w:val="28"/>
        </w:rPr>
        <w:t xml:space="preserve">Propagace hl. m. Prahy v kontextu Veřejnoprávní smlouvy o poskytnutí neinvestiční dotace v rámci Programu podpory cestovního ruchu pro rok 2023 (čl. VI., bod 8) </w:t>
      </w:r>
    </w:p>
    <w:p w14:paraId="1785DCFC" w14:textId="77777777" w:rsidR="00F665E6" w:rsidRPr="00F665E6" w:rsidRDefault="00F665E6" w:rsidP="00F665E6">
      <w:pPr>
        <w:jc w:val="both"/>
        <w:rPr>
          <w:b/>
          <w:bCs/>
          <w:sz w:val="28"/>
          <w:szCs w:val="28"/>
        </w:rPr>
      </w:pPr>
    </w:p>
    <w:p w14:paraId="23ECE28E" w14:textId="51B95F2F" w:rsidR="009F66D6" w:rsidRPr="009F66D6" w:rsidRDefault="00F665E6" w:rsidP="009F66D6">
      <w:pPr>
        <w:spacing w:after="120"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krátce </w:t>
      </w:r>
      <w:r w:rsidR="000612F5">
        <w:rPr>
          <w:rFonts w:eastAsia="Calibri"/>
          <w:sz w:val="22"/>
          <w:szCs w:val="22"/>
          <w:lang w:eastAsia="en-US"/>
        </w:rPr>
        <w:t>představil</w:t>
      </w:r>
      <w:r>
        <w:rPr>
          <w:rFonts w:eastAsia="Calibri"/>
          <w:sz w:val="22"/>
          <w:szCs w:val="22"/>
          <w:lang w:eastAsia="en-US"/>
        </w:rPr>
        <w:t xml:space="preserve"> tento bod</w:t>
      </w:r>
      <w:r w:rsidR="009F66D6">
        <w:rPr>
          <w:rFonts w:eastAsia="Calibri"/>
          <w:sz w:val="22"/>
          <w:szCs w:val="22"/>
          <w:lang w:eastAsia="en-US"/>
        </w:rPr>
        <w:t>. V</w:t>
      </w:r>
      <w:r w:rsidR="000612F5">
        <w:rPr>
          <w:rFonts w:eastAsia="Calibri"/>
          <w:sz w:val="22"/>
          <w:szCs w:val="22"/>
          <w:lang w:eastAsia="en-US"/>
        </w:rPr>
        <w:t>e</w:t>
      </w:r>
      <w:r w:rsidR="009F66D6">
        <w:rPr>
          <w:rFonts w:eastAsia="Calibri"/>
          <w:sz w:val="22"/>
          <w:szCs w:val="22"/>
          <w:lang w:eastAsia="en-US"/>
        </w:rPr>
        <w:t> smlouvě pro</w:t>
      </w:r>
      <w:r w:rsidR="009F66D6" w:rsidRPr="009F66D6">
        <w:rPr>
          <w:rFonts w:eastAsia="Calibri"/>
          <w:sz w:val="22"/>
          <w:szCs w:val="22"/>
          <w:lang w:eastAsia="en-US"/>
        </w:rPr>
        <w:t xml:space="preserve"> r. 2022 </w:t>
      </w:r>
      <w:r w:rsidR="009F66D6">
        <w:rPr>
          <w:rFonts w:eastAsia="Calibri"/>
          <w:sz w:val="22"/>
          <w:szCs w:val="22"/>
          <w:lang w:eastAsia="en-US"/>
        </w:rPr>
        <w:t xml:space="preserve">schválené Radou HMP </w:t>
      </w:r>
      <w:r w:rsidR="009F66D6" w:rsidRPr="009F66D6">
        <w:rPr>
          <w:rFonts w:eastAsia="Calibri"/>
          <w:sz w:val="22"/>
          <w:szCs w:val="22"/>
          <w:lang w:eastAsia="en-US"/>
        </w:rPr>
        <w:t>je uveden</w:t>
      </w:r>
      <w:r w:rsidR="009F66D6">
        <w:rPr>
          <w:rFonts w:eastAsia="Calibri"/>
          <w:sz w:val="22"/>
          <w:szCs w:val="22"/>
          <w:lang w:eastAsia="en-US"/>
        </w:rPr>
        <w:t xml:space="preserve">a jako jedna z podmínek </w:t>
      </w:r>
      <w:r w:rsidR="009F66D6" w:rsidRPr="009F66D6">
        <w:rPr>
          <w:rFonts w:eastAsia="Calibri"/>
          <w:sz w:val="22"/>
          <w:szCs w:val="22"/>
          <w:lang w:eastAsia="en-US"/>
        </w:rPr>
        <w:t xml:space="preserve">u </w:t>
      </w:r>
      <w:r w:rsidR="009F66D6">
        <w:rPr>
          <w:rFonts w:eastAsia="Calibri"/>
          <w:sz w:val="22"/>
          <w:szCs w:val="22"/>
          <w:lang w:eastAsia="en-US"/>
        </w:rPr>
        <w:t>p</w:t>
      </w:r>
      <w:r w:rsidR="009F66D6" w:rsidRPr="009F66D6">
        <w:rPr>
          <w:rFonts w:eastAsia="Calibri"/>
          <w:sz w:val="22"/>
          <w:szCs w:val="22"/>
          <w:lang w:eastAsia="en-US"/>
        </w:rPr>
        <w:t xml:space="preserve">říjemců </w:t>
      </w:r>
      <w:r w:rsidR="009F66D6">
        <w:rPr>
          <w:rFonts w:eastAsia="Calibri"/>
          <w:sz w:val="22"/>
          <w:szCs w:val="22"/>
          <w:lang w:eastAsia="en-US"/>
        </w:rPr>
        <w:t>d</w:t>
      </w:r>
      <w:r w:rsidR="009F66D6" w:rsidRPr="009F66D6">
        <w:rPr>
          <w:rFonts w:eastAsia="Calibri"/>
          <w:sz w:val="22"/>
          <w:szCs w:val="22"/>
          <w:lang w:eastAsia="en-US"/>
        </w:rPr>
        <w:t>otace v Opatření I. – Podpora asociačních kongresů a konferencí</w:t>
      </w:r>
      <w:r w:rsidR="009F66D6">
        <w:rPr>
          <w:rFonts w:eastAsia="Calibri"/>
          <w:sz w:val="22"/>
          <w:szCs w:val="22"/>
          <w:lang w:eastAsia="en-US"/>
        </w:rPr>
        <w:t>, že „</w:t>
      </w:r>
      <w:r w:rsidR="009F66D6" w:rsidRPr="009F66D6">
        <w:rPr>
          <w:rFonts w:eastAsia="Calibri"/>
          <w:i/>
          <w:iCs/>
          <w:sz w:val="22"/>
          <w:szCs w:val="22"/>
          <w:lang w:eastAsia="en-US"/>
        </w:rPr>
        <w:t>Příjemce dotace je nad rámec povinné prezentace uvedené v</w:t>
      </w:r>
      <w:r w:rsidR="009F66D6">
        <w:rPr>
          <w:rFonts w:eastAsia="Calibri"/>
          <w:i/>
          <w:iCs/>
          <w:sz w:val="22"/>
          <w:szCs w:val="22"/>
          <w:lang w:eastAsia="en-US"/>
        </w:rPr>
        <w:t xml:space="preserve"> čl. VI., </w:t>
      </w:r>
      <w:r w:rsidR="009F66D6" w:rsidRPr="009F66D6">
        <w:rPr>
          <w:rFonts w:eastAsia="Calibri"/>
          <w:i/>
          <w:iCs/>
          <w:sz w:val="22"/>
          <w:szCs w:val="22"/>
          <w:lang w:eastAsia="en-US"/>
        </w:rPr>
        <w:t xml:space="preserve">odstavci 1. a 2. </w:t>
      </w:r>
      <w:r w:rsidR="009F66D6">
        <w:rPr>
          <w:rFonts w:eastAsia="Calibri"/>
          <w:i/>
          <w:iCs/>
          <w:sz w:val="22"/>
          <w:szCs w:val="22"/>
          <w:lang w:eastAsia="en-US"/>
        </w:rPr>
        <w:t>Smlouvy</w:t>
      </w:r>
      <w:r w:rsidR="009F66D6" w:rsidRPr="009F66D6">
        <w:rPr>
          <w:rFonts w:eastAsia="Calibri"/>
          <w:i/>
          <w:iCs/>
          <w:sz w:val="22"/>
          <w:szCs w:val="22"/>
          <w:lang w:eastAsia="en-US"/>
        </w:rPr>
        <w:t xml:space="preserve"> povinen umožnit Poskytovateli prezentaci HMP jako turistické destinace:</w:t>
      </w:r>
    </w:p>
    <w:p w14:paraId="51BC349B" w14:textId="77777777" w:rsidR="009F66D6" w:rsidRPr="009F66D6" w:rsidRDefault="009F66D6" w:rsidP="009F66D6">
      <w:pPr>
        <w:spacing w:after="120"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9F66D6">
        <w:rPr>
          <w:rFonts w:eastAsia="Calibri"/>
          <w:i/>
          <w:iCs/>
          <w:sz w:val="22"/>
          <w:szCs w:val="22"/>
          <w:lang w:eastAsia="en-US"/>
        </w:rPr>
        <w:t>-</w:t>
      </w:r>
      <w:r w:rsidRPr="009F66D6">
        <w:rPr>
          <w:rFonts w:eastAsia="Calibri"/>
          <w:i/>
          <w:iCs/>
          <w:sz w:val="22"/>
          <w:szCs w:val="22"/>
          <w:lang w:eastAsia="en-US"/>
        </w:rPr>
        <w:tab/>
        <w:t>formou promítnutí spotu (</w:t>
      </w:r>
      <w:proofErr w:type="gramStart"/>
      <w:r w:rsidRPr="009F66D6">
        <w:rPr>
          <w:rFonts w:eastAsia="Calibri"/>
          <w:i/>
          <w:iCs/>
          <w:sz w:val="22"/>
          <w:szCs w:val="22"/>
          <w:lang w:eastAsia="en-US"/>
        </w:rPr>
        <w:t>30 – 60</w:t>
      </w:r>
      <w:proofErr w:type="gramEnd"/>
      <w:r w:rsidRPr="009F66D6">
        <w:rPr>
          <w:rFonts w:eastAsia="Calibri"/>
          <w:i/>
          <w:iCs/>
          <w:sz w:val="22"/>
          <w:szCs w:val="22"/>
          <w:lang w:eastAsia="en-US"/>
        </w:rPr>
        <w:t xml:space="preserve"> s), a to vždy v místě realizace Účelu, a v případě, že Účel bude realizován v hybridním formátu, současně také ve virtuálním studiu</w:t>
      </w:r>
    </w:p>
    <w:p w14:paraId="3C3B020A" w14:textId="77777777" w:rsidR="009F66D6" w:rsidRPr="009F66D6" w:rsidRDefault="009F66D6" w:rsidP="009F66D6">
      <w:pPr>
        <w:spacing w:after="120"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9F66D6">
        <w:rPr>
          <w:rFonts w:eastAsia="Calibri"/>
          <w:i/>
          <w:iCs/>
          <w:sz w:val="22"/>
          <w:szCs w:val="22"/>
          <w:lang w:eastAsia="en-US"/>
        </w:rPr>
        <w:t>-</w:t>
      </w:r>
      <w:r w:rsidRPr="009F66D6">
        <w:rPr>
          <w:rFonts w:eastAsia="Calibri"/>
          <w:i/>
          <w:iCs/>
          <w:sz w:val="22"/>
          <w:szCs w:val="22"/>
          <w:lang w:eastAsia="en-US"/>
        </w:rPr>
        <w:tab/>
        <w:t>formou umístění banneru na webových stránkách Účelu (svislý a vodorovný banner, 300x600 a 300x250 pixelů) v responzivním režimu</w:t>
      </w:r>
    </w:p>
    <w:p w14:paraId="4345355E" w14:textId="77777777" w:rsidR="009F66D6" w:rsidRDefault="009F66D6" w:rsidP="009F66D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F66D6">
        <w:rPr>
          <w:rFonts w:eastAsia="Calibri"/>
          <w:i/>
          <w:iCs/>
          <w:sz w:val="22"/>
          <w:szCs w:val="22"/>
          <w:lang w:eastAsia="en-US"/>
        </w:rPr>
        <w:t>-</w:t>
      </w:r>
      <w:r w:rsidRPr="009F66D6">
        <w:rPr>
          <w:rFonts w:eastAsia="Calibri"/>
          <w:i/>
          <w:iCs/>
          <w:sz w:val="22"/>
          <w:szCs w:val="22"/>
          <w:lang w:eastAsia="en-US"/>
        </w:rPr>
        <w:tab/>
        <w:t>Podklady pro obě formy prezentace poskytne HMP na základě podepsané Smlouvy</w:t>
      </w:r>
      <w:r w:rsidRPr="009F66D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“ </w:t>
      </w:r>
    </w:p>
    <w:p w14:paraId="7AF9BA0A" w14:textId="67CBD52C" w:rsidR="009F66D6" w:rsidRDefault="009F66D6" w:rsidP="009F66D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HMP má </w:t>
      </w:r>
      <w:r w:rsidR="000612F5">
        <w:rPr>
          <w:rFonts w:eastAsia="Calibri"/>
          <w:sz w:val="22"/>
          <w:szCs w:val="22"/>
          <w:lang w:eastAsia="en-US"/>
        </w:rPr>
        <w:t>tyto podklady</w:t>
      </w:r>
      <w:r>
        <w:rPr>
          <w:rFonts w:eastAsia="Calibri"/>
          <w:sz w:val="22"/>
          <w:szCs w:val="22"/>
          <w:lang w:eastAsia="en-US"/>
        </w:rPr>
        <w:t xml:space="preserve"> poskytovat prostřednictvím Prague City </w:t>
      </w:r>
      <w:proofErr w:type="spellStart"/>
      <w:r>
        <w:rPr>
          <w:rFonts w:eastAsia="Calibri"/>
          <w:sz w:val="22"/>
          <w:szCs w:val="22"/>
          <w:lang w:eastAsia="en-US"/>
        </w:rPr>
        <w:t>Tourism</w:t>
      </w:r>
      <w:proofErr w:type="spellEnd"/>
      <w:r>
        <w:rPr>
          <w:rFonts w:eastAsia="Calibri"/>
          <w:sz w:val="22"/>
          <w:szCs w:val="22"/>
          <w:lang w:eastAsia="en-US"/>
        </w:rPr>
        <w:t>, a.s. (dále „PCT“) na zákl</w:t>
      </w:r>
      <w:r w:rsidR="008F211C">
        <w:rPr>
          <w:rFonts w:eastAsia="Calibri"/>
          <w:sz w:val="22"/>
          <w:szCs w:val="22"/>
          <w:lang w:eastAsia="en-US"/>
        </w:rPr>
        <w:t>adě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podlicenční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smlouvy</w:t>
      </w:r>
      <w:r w:rsidR="000612F5">
        <w:rPr>
          <w:rFonts w:eastAsia="Calibri"/>
          <w:sz w:val="22"/>
          <w:szCs w:val="22"/>
          <w:lang w:eastAsia="en-US"/>
        </w:rPr>
        <w:t>, což je z pohledu příjemců dota</w:t>
      </w:r>
      <w:r w:rsidR="006B065D">
        <w:rPr>
          <w:rFonts w:eastAsia="Calibri"/>
          <w:sz w:val="22"/>
          <w:szCs w:val="22"/>
          <w:lang w:eastAsia="en-US"/>
        </w:rPr>
        <w:t>c</w:t>
      </w:r>
      <w:r w:rsidR="000612F5">
        <w:rPr>
          <w:rFonts w:eastAsia="Calibri"/>
          <w:sz w:val="22"/>
          <w:szCs w:val="22"/>
          <w:lang w:eastAsia="en-US"/>
        </w:rPr>
        <w:t>í poněkud složitější</w:t>
      </w:r>
      <w:r>
        <w:rPr>
          <w:rFonts w:eastAsia="Calibri"/>
          <w:sz w:val="22"/>
          <w:szCs w:val="22"/>
          <w:lang w:eastAsia="en-US"/>
        </w:rPr>
        <w:t xml:space="preserve">. Následně pan předseda </w:t>
      </w:r>
      <w:r w:rsidR="00686C6F">
        <w:rPr>
          <w:rFonts w:eastAsia="Calibri"/>
          <w:sz w:val="22"/>
          <w:szCs w:val="22"/>
          <w:lang w:eastAsia="en-US"/>
        </w:rPr>
        <w:t>pře</w:t>
      </w:r>
      <w:r w:rsidR="00E07BF6">
        <w:rPr>
          <w:rFonts w:eastAsia="Calibri"/>
          <w:sz w:val="22"/>
          <w:szCs w:val="22"/>
          <w:lang w:eastAsia="en-US"/>
        </w:rPr>
        <w:t>dal</w:t>
      </w:r>
      <w:r w:rsidR="00F665E6">
        <w:rPr>
          <w:rFonts w:eastAsia="Calibri"/>
          <w:sz w:val="22"/>
          <w:szCs w:val="22"/>
          <w:lang w:eastAsia="en-US"/>
        </w:rPr>
        <w:t xml:space="preserve"> </w:t>
      </w:r>
      <w:r w:rsidR="00686C6F">
        <w:rPr>
          <w:rFonts w:eastAsia="Calibri"/>
          <w:sz w:val="22"/>
          <w:szCs w:val="22"/>
          <w:lang w:eastAsia="en-US"/>
        </w:rPr>
        <w:t xml:space="preserve">slovo </w:t>
      </w:r>
      <w:r w:rsidR="00F665E6">
        <w:rPr>
          <w:rFonts w:eastAsia="Calibri"/>
          <w:sz w:val="22"/>
          <w:szCs w:val="22"/>
          <w:lang w:eastAsia="en-US"/>
        </w:rPr>
        <w:t>paní ředitel</w:t>
      </w:r>
      <w:r w:rsidR="00E07BF6">
        <w:rPr>
          <w:rFonts w:eastAsia="Calibri"/>
          <w:sz w:val="22"/>
          <w:szCs w:val="22"/>
          <w:lang w:eastAsia="en-US"/>
        </w:rPr>
        <w:t>ce</w:t>
      </w:r>
      <w:r w:rsidR="00F665E6">
        <w:rPr>
          <w:rFonts w:eastAsia="Calibri"/>
          <w:sz w:val="22"/>
          <w:szCs w:val="22"/>
          <w:lang w:eastAsia="en-US"/>
        </w:rPr>
        <w:t xml:space="preserve"> Berkov</w:t>
      </w:r>
      <w:r w:rsidR="00E07BF6">
        <w:rPr>
          <w:rFonts w:eastAsia="Calibri"/>
          <w:sz w:val="22"/>
          <w:szCs w:val="22"/>
          <w:lang w:eastAsia="en-US"/>
        </w:rPr>
        <w:t>é</w:t>
      </w:r>
      <w:r w:rsidR="000612F5">
        <w:rPr>
          <w:rFonts w:eastAsia="Calibri"/>
          <w:sz w:val="22"/>
          <w:szCs w:val="22"/>
          <w:lang w:eastAsia="en-US"/>
        </w:rPr>
        <w:t xml:space="preserve">, aby se vyjádřila k prezentaci </w:t>
      </w:r>
      <w:r w:rsidR="00F50695">
        <w:rPr>
          <w:rFonts w:eastAsia="Calibri"/>
          <w:sz w:val="22"/>
          <w:szCs w:val="22"/>
          <w:lang w:eastAsia="en-US"/>
        </w:rPr>
        <w:t>Prahy, kterou má na starosti odbor OMM MHMP.</w:t>
      </w:r>
    </w:p>
    <w:p w14:paraId="6FFB66A0" w14:textId="4BF1D79D" w:rsidR="00F665E6" w:rsidRDefault="00F665E6" w:rsidP="009F66D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Paní ředitelka poděkovala za pozvání a shrnula </w:t>
      </w:r>
      <w:r w:rsidR="00E07BF6">
        <w:rPr>
          <w:rFonts w:eastAsia="Calibri"/>
          <w:sz w:val="22"/>
          <w:szCs w:val="22"/>
          <w:lang w:eastAsia="en-US"/>
        </w:rPr>
        <w:t>marketingov</w:t>
      </w:r>
      <w:r w:rsidR="00686C6F">
        <w:rPr>
          <w:rFonts w:eastAsia="Calibri"/>
          <w:sz w:val="22"/>
          <w:szCs w:val="22"/>
          <w:lang w:eastAsia="en-US"/>
        </w:rPr>
        <w:t>á</w:t>
      </w:r>
      <w:r w:rsidR="00E07BF6">
        <w:rPr>
          <w:rFonts w:eastAsia="Calibri"/>
          <w:sz w:val="22"/>
          <w:szCs w:val="22"/>
          <w:lang w:eastAsia="en-US"/>
        </w:rPr>
        <w:t xml:space="preserve"> plnění při </w:t>
      </w:r>
      <w:r>
        <w:rPr>
          <w:rFonts w:eastAsia="Calibri"/>
          <w:sz w:val="22"/>
          <w:szCs w:val="22"/>
          <w:lang w:eastAsia="en-US"/>
        </w:rPr>
        <w:t>propagaci HMP</w:t>
      </w:r>
      <w:r w:rsidR="00686C6F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Zmínila rozdělení na úsek, který má na starosti</w:t>
      </w:r>
      <w:r w:rsidR="0051060B" w:rsidRPr="0051060B">
        <w:rPr>
          <w:rFonts w:eastAsia="Calibri"/>
          <w:sz w:val="22"/>
          <w:szCs w:val="22"/>
          <w:lang w:eastAsia="en-US"/>
        </w:rPr>
        <w:t xml:space="preserve"> </w:t>
      </w:r>
      <w:r w:rsidR="0051060B">
        <w:rPr>
          <w:rFonts w:eastAsia="Calibri"/>
          <w:sz w:val="22"/>
          <w:szCs w:val="22"/>
          <w:lang w:eastAsia="en-US"/>
        </w:rPr>
        <w:t>odbor médií a marketingu MHMP</w:t>
      </w:r>
      <w:r w:rsidR="00686C6F">
        <w:rPr>
          <w:rFonts w:eastAsia="Calibri"/>
          <w:sz w:val="22"/>
          <w:szCs w:val="22"/>
          <w:lang w:eastAsia="en-US"/>
        </w:rPr>
        <w:t>, většinou souvis</w:t>
      </w:r>
      <w:r w:rsidR="00707838">
        <w:rPr>
          <w:rFonts w:eastAsia="Calibri"/>
          <w:sz w:val="22"/>
          <w:szCs w:val="22"/>
          <w:lang w:eastAsia="en-US"/>
        </w:rPr>
        <w:t>ející</w:t>
      </w:r>
      <w:r w:rsidR="00686C6F">
        <w:rPr>
          <w:rFonts w:eastAsia="Calibri"/>
          <w:sz w:val="22"/>
          <w:szCs w:val="22"/>
          <w:lang w:eastAsia="en-US"/>
        </w:rPr>
        <w:t xml:space="preserve"> s životem Pražanů</w:t>
      </w:r>
      <w:r w:rsidR="00707838">
        <w:rPr>
          <w:rFonts w:eastAsia="Calibri"/>
          <w:sz w:val="22"/>
          <w:szCs w:val="22"/>
          <w:lang w:eastAsia="en-US"/>
        </w:rPr>
        <w:t xml:space="preserve">, </w:t>
      </w:r>
      <w:r w:rsidR="0051060B">
        <w:rPr>
          <w:rFonts w:eastAsia="Calibri"/>
          <w:sz w:val="22"/>
          <w:szCs w:val="22"/>
          <w:lang w:eastAsia="en-US"/>
        </w:rPr>
        <w:t>a úsek</w:t>
      </w:r>
      <w:r w:rsidR="00707838">
        <w:rPr>
          <w:rFonts w:eastAsia="Calibri"/>
          <w:sz w:val="22"/>
          <w:szCs w:val="22"/>
          <w:lang w:eastAsia="en-US"/>
        </w:rPr>
        <w:t xml:space="preserve"> týkající se incomingu</w:t>
      </w:r>
      <w:r w:rsidR="009F66D6">
        <w:rPr>
          <w:rFonts w:eastAsia="Calibri"/>
          <w:sz w:val="22"/>
          <w:szCs w:val="22"/>
          <w:lang w:eastAsia="en-US"/>
        </w:rPr>
        <w:t>, který lépe spadá pod PCT</w:t>
      </w:r>
      <w:r w:rsidR="00707838">
        <w:rPr>
          <w:rFonts w:eastAsia="Calibri"/>
          <w:sz w:val="22"/>
          <w:szCs w:val="22"/>
          <w:lang w:eastAsia="en-US"/>
        </w:rPr>
        <w:t>.</w:t>
      </w:r>
      <w:r w:rsidR="00E07BF6">
        <w:rPr>
          <w:rFonts w:eastAsia="Calibri"/>
          <w:sz w:val="22"/>
          <w:szCs w:val="22"/>
          <w:lang w:eastAsia="en-US"/>
        </w:rPr>
        <w:t xml:space="preserve"> Image</w:t>
      </w:r>
      <w:r w:rsidR="00707838">
        <w:rPr>
          <w:rFonts w:eastAsia="Calibri"/>
          <w:sz w:val="22"/>
          <w:szCs w:val="22"/>
          <w:lang w:eastAsia="en-US"/>
        </w:rPr>
        <w:t xml:space="preserve"> města </w:t>
      </w:r>
      <w:r w:rsidR="00E07BF6">
        <w:rPr>
          <w:rFonts w:eastAsia="Calibri"/>
          <w:sz w:val="22"/>
          <w:szCs w:val="22"/>
          <w:lang w:eastAsia="en-US"/>
        </w:rPr>
        <w:t xml:space="preserve">je vhodné prezentovat jednotně. Zde dává smysl spojit se s kampaní PCT, aby docházelo ke stejné </w:t>
      </w:r>
      <w:r w:rsidR="0051060B">
        <w:rPr>
          <w:rFonts w:eastAsia="Calibri"/>
          <w:sz w:val="22"/>
          <w:szCs w:val="22"/>
          <w:lang w:eastAsia="en-US"/>
        </w:rPr>
        <w:t>p</w:t>
      </w:r>
      <w:r w:rsidR="00E07BF6">
        <w:rPr>
          <w:rFonts w:eastAsia="Calibri"/>
          <w:sz w:val="22"/>
          <w:szCs w:val="22"/>
          <w:lang w:eastAsia="en-US"/>
        </w:rPr>
        <w:t>rezentaci Prahy</w:t>
      </w:r>
      <w:r w:rsidR="00707838">
        <w:rPr>
          <w:rFonts w:eastAsia="Calibri"/>
          <w:sz w:val="22"/>
          <w:szCs w:val="22"/>
          <w:lang w:eastAsia="en-US"/>
        </w:rPr>
        <w:t>.</w:t>
      </w:r>
      <w:r w:rsidR="00E07BF6">
        <w:rPr>
          <w:rFonts w:eastAsia="Calibri"/>
          <w:sz w:val="22"/>
          <w:szCs w:val="22"/>
          <w:lang w:eastAsia="en-US"/>
        </w:rPr>
        <w:t xml:space="preserve"> </w:t>
      </w:r>
      <w:bookmarkStart w:id="1" w:name="_Hlk102050385"/>
    </w:p>
    <w:bookmarkEnd w:id="1"/>
    <w:p w14:paraId="024FE246" w14:textId="5DE1F074" w:rsidR="00707838" w:rsidRPr="00447233" w:rsidRDefault="00707838" w:rsidP="0070783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A4381">
        <w:rPr>
          <w:rFonts w:eastAsia="Calibri"/>
          <w:sz w:val="22"/>
          <w:szCs w:val="22"/>
          <w:lang w:eastAsia="en-US"/>
        </w:rPr>
        <w:t>Mgr. František Cipro</w:t>
      </w:r>
      <w:r>
        <w:rPr>
          <w:rFonts w:eastAsia="Calibri"/>
          <w:sz w:val="22"/>
          <w:szCs w:val="22"/>
          <w:lang w:eastAsia="en-US"/>
        </w:rPr>
        <w:t>, předseda představenstva PCT</w:t>
      </w:r>
      <w:r w:rsidR="0051060B">
        <w:rPr>
          <w:rFonts w:eastAsia="Calibri"/>
          <w:sz w:val="22"/>
          <w:szCs w:val="22"/>
          <w:lang w:eastAsia="en-US"/>
        </w:rPr>
        <w:t xml:space="preserve"> </w:t>
      </w:r>
      <w:r w:rsidR="008F211C">
        <w:rPr>
          <w:rFonts w:eastAsia="Calibri"/>
          <w:sz w:val="22"/>
          <w:szCs w:val="22"/>
          <w:lang w:eastAsia="en-US"/>
        </w:rPr>
        <w:t>navrhl, že k tématu zorganizuje pracovní setkání</w:t>
      </w:r>
      <w:r w:rsidR="0051060B">
        <w:rPr>
          <w:rFonts w:eastAsia="Calibri"/>
          <w:sz w:val="22"/>
          <w:szCs w:val="22"/>
          <w:lang w:eastAsia="en-US"/>
        </w:rPr>
        <w:t xml:space="preserve"> mezi PCT a KUC MHM</w:t>
      </w:r>
      <w:r w:rsidR="008F211C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>.</w:t>
      </w:r>
    </w:p>
    <w:p w14:paraId="72B50377" w14:textId="3E690D7A" w:rsidR="0051060B" w:rsidRDefault="0051060B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dodal, že by HMP </w:t>
      </w:r>
      <w:r w:rsidR="00707838">
        <w:rPr>
          <w:rFonts w:eastAsia="Calibri"/>
          <w:sz w:val="22"/>
          <w:szCs w:val="22"/>
          <w:lang w:eastAsia="en-US"/>
        </w:rPr>
        <w:t>mělo mít možnost</w:t>
      </w:r>
      <w:r>
        <w:rPr>
          <w:rFonts w:eastAsia="Calibri"/>
          <w:sz w:val="22"/>
          <w:szCs w:val="22"/>
          <w:lang w:eastAsia="en-US"/>
        </w:rPr>
        <w:t xml:space="preserve"> využít komunikační příležitost </w:t>
      </w:r>
      <w:r w:rsidR="009F66D6">
        <w:rPr>
          <w:rFonts w:eastAsia="Calibri"/>
          <w:sz w:val="22"/>
          <w:szCs w:val="22"/>
          <w:lang w:eastAsia="en-US"/>
        </w:rPr>
        <w:t>prostřednictvím p</w:t>
      </w:r>
      <w:r w:rsidR="009F66D6" w:rsidRPr="009F66D6">
        <w:rPr>
          <w:rFonts w:eastAsia="Calibri"/>
          <w:sz w:val="22"/>
          <w:szCs w:val="22"/>
          <w:lang w:eastAsia="en-US"/>
        </w:rPr>
        <w:t xml:space="preserve">říjemců </w:t>
      </w:r>
      <w:r w:rsidR="009F66D6">
        <w:rPr>
          <w:rFonts w:eastAsia="Calibri"/>
          <w:sz w:val="22"/>
          <w:szCs w:val="22"/>
          <w:lang w:eastAsia="en-US"/>
        </w:rPr>
        <w:t>d</w:t>
      </w:r>
      <w:r w:rsidR="009F66D6" w:rsidRPr="009F66D6">
        <w:rPr>
          <w:rFonts w:eastAsia="Calibri"/>
          <w:sz w:val="22"/>
          <w:szCs w:val="22"/>
          <w:lang w:eastAsia="en-US"/>
        </w:rPr>
        <w:t>otac</w:t>
      </w:r>
      <w:r w:rsidR="009F66D6">
        <w:rPr>
          <w:rFonts w:eastAsia="Calibri"/>
          <w:sz w:val="22"/>
          <w:szCs w:val="22"/>
          <w:lang w:eastAsia="en-US"/>
        </w:rPr>
        <w:t>í</w:t>
      </w:r>
      <w:r w:rsidR="009F66D6" w:rsidRPr="009F66D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již v</w:t>
      </w:r>
      <w:r w:rsidR="008F211C">
        <w:rPr>
          <w:rFonts w:eastAsia="Calibri"/>
          <w:sz w:val="22"/>
          <w:szCs w:val="22"/>
          <w:lang w:eastAsia="en-US"/>
        </w:rPr>
        <w:t xml:space="preserve"> probíhajícím </w:t>
      </w:r>
      <w:r>
        <w:rPr>
          <w:rFonts w:eastAsia="Calibri"/>
          <w:sz w:val="22"/>
          <w:szCs w:val="22"/>
          <w:lang w:eastAsia="en-US"/>
        </w:rPr>
        <w:t>r</w:t>
      </w:r>
      <w:r w:rsidR="008F211C">
        <w:rPr>
          <w:rFonts w:eastAsia="Calibri"/>
          <w:sz w:val="22"/>
          <w:szCs w:val="22"/>
          <w:lang w:eastAsia="en-US"/>
        </w:rPr>
        <w:t>oce</w:t>
      </w:r>
      <w:r>
        <w:rPr>
          <w:rFonts w:eastAsia="Calibri"/>
          <w:sz w:val="22"/>
          <w:szCs w:val="22"/>
          <w:lang w:eastAsia="en-US"/>
        </w:rPr>
        <w:t>.</w:t>
      </w:r>
    </w:p>
    <w:p w14:paraId="20EC2B95" w14:textId="75A096C2" w:rsidR="00102CDC" w:rsidRDefault="00102CDC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62D24">
        <w:rPr>
          <w:rFonts w:eastAsia="Calibri"/>
          <w:sz w:val="22"/>
          <w:szCs w:val="22"/>
          <w:lang w:eastAsia="en-US"/>
        </w:rPr>
        <w:t>Paní ředitelka Berková doplnila, že akce podporované prostřednictvím grantového systému jsou posuzovány jednotlivě.</w:t>
      </w:r>
      <w:r w:rsidR="00C62D2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HMP některé platformy či akce využívá i opačně pro informování Pražanů, např. formou prezentačních stánků apod</w:t>
      </w:r>
      <w:r w:rsidR="004A281A">
        <w:rPr>
          <w:rFonts w:eastAsia="Calibri"/>
          <w:sz w:val="22"/>
          <w:szCs w:val="22"/>
          <w:lang w:eastAsia="en-US"/>
        </w:rPr>
        <w:t>.</w:t>
      </w:r>
      <w:r w:rsidR="00F50695">
        <w:rPr>
          <w:rFonts w:eastAsia="Calibri"/>
          <w:sz w:val="22"/>
          <w:szCs w:val="22"/>
          <w:lang w:eastAsia="en-US"/>
        </w:rPr>
        <w:t xml:space="preserve"> Momentálně je využívána podpora v souvislosti s použitím loga HMP (správn</w:t>
      </w:r>
      <w:r w:rsidR="002133F1">
        <w:rPr>
          <w:rFonts w:eastAsia="Calibri"/>
          <w:sz w:val="22"/>
          <w:szCs w:val="22"/>
          <w:lang w:eastAsia="en-US"/>
        </w:rPr>
        <w:t>é</w:t>
      </w:r>
      <w:r w:rsidR="00F50695">
        <w:rPr>
          <w:rFonts w:eastAsia="Calibri"/>
          <w:sz w:val="22"/>
          <w:szCs w:val="22"/>
          <w:lang w:eastAsia="en-US"/>
        </w:rPr>
        <w:t xml:space="preserve"> užití loga je komunikováno s OMM MHMP).</w:t>
      </w:r>
    </w:p>
    <w:p w14:paraId="0518B6E5" w14:textId="4B08E8DC" w:rsidR="0051060B" w:rsidRDefault="009F66D6" w:rsidP="0070783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Bc. Roman Muška k</w:t>
      </w:r>
      <w:r w:rsidR="00102CDC">
        <w:rPr>
          <w:rFonts w:eastAsia="Calibri"/>
          <w:sz w:val="22"/>
          <w:szCs w:val="22"/>
          <w:lang w:eastAsia="en-US"/>
        </w:rPr>
        <w:t> povinné prezentaci HMP na kongresech/konferencích</w:t>
      </w:r>
      <w:r>
        <w:rPr>
          <w:rFonts w:eastAsia="Calibri"/>
          <w:sz w:val="22"/>
          <w:szCs w:val="22"/>
          <w:lang w:eastAsia="en-US"/>
        </w:rPr>
        <w:t xml:space="preserve"> vyslovil názor, že je zde jistá diskriminace </w:t>
      </w:r>
      <w:r w:rsidR="00481FD3">
        <w:rPr>
          <w:rFonts w:eastAsia="Calibri"/>
          <w:sz w:val="22"/>
          <w:szCs w:val="22"/>
          <w:lang w:eastAsia="en-US"/>
        </w:rPr>
        <w:t xml:space="preserve">organizátorů hybridních akcí v tom smyslu, že tito </w:t>
      </w:r>
      <w:r>
        <w:rPr>
          <w:rFonts w:eastAsia="Calibri"/>
          <w:sz w:val="22"/>
          <w:szCs w:val="22"/>
          <w:lang w:eastAsia="en-US"/>
        </w:rPr>
        <w:t>o</w:t>
      </w:r>
      <w:r w:rsidR="00707838" w:rsidRPr="00707838">
        <w:rPr>
          <w:rFonts w:eastAsia="Calibri"/>
          <w:sz w:val="22"/>
          <w:szCs w:val="22"/>
          <w:lang w:eastAsia="en-US"/>
        </w:rPr>
        <w:t>rganizátoři</w:t>
      </w:r>
      <w:r>
        <w:rPr>
          <w:rFonts w:eastAsia="Calibri"/>
          <w:sz w:val="22"/>
          <w:szCs w:val="22"/>
          <w:lang w:eastAsia="en-US"/>
        </w:rPr>
        <w:t xml:space="preserve"> jsou</w:t>
      </w:r>
      <w:r w:rsidR="00707838" w:rsidRPr="00707838">
        <w:rPr>
          <w:rFonts w:eastAsia="Calibri"/>
          <w:sz w:val="22"/>
          <w:szCs w:val="22"/>
          <w:lang w:eastAsia="en-US"/>
        </w:rPr>
        <w:t xml:space="preserve"> „penalizováni“ v rámci plnění, pokud organizují akci v hybridním formátu</w:t>
      </w:r>
      <w:r w:rsidR="00481FD3">
        <w:rPr>
          <w:rFonts w:eastAsia="Calibri"/>
          <w:sz w:val="22"/>
          <w:szCs w:val="22"/>
          <w:lang w:eastAsia="en-US"/>
        </w:rPr>
        <w:t xml:space="preserve">, neboť </w:t>
      </w:r>
      <w:r w:rsidR="00707838" w:rsidRPr="00707838">
        <w:rPr>
          <w:rFonts w:eastAsia="Calibri"/>
          <w:sz w:val="22"/>
          <w:szCs w:val="22"/>
          <w:lang w:eastAsia="en-US"/>
        </w:rPr>
        <w:t>mají dokládat plnění navíc oproti těm, kteří akci dělají klasicky</w:t>
      </w:r>
      <w:r w:rsidR="00481FD3">
        <w:rPr>
          <w:rFonts w:eastAsia="Calibri"/>
          <w:sz w:val="22"/>
          <w:szCs w:val="22"/>
          <w:lang w:eastAsia="en-US"/>
        </w:rPr>
        <w:t>,</w:t>
      </w:r>
      <w:r w:rsidR="00707838" w:rsidRPr="00707838">
        <w:rPr>
          <w:rFonts w:eastAsia="Calibri"/>
          <w:sz w:val="22"/>
          <w:szCs w:val="22"/>
          <w:lang w:eastAsia="en-US"/>
        </w:rPr>
        <w:t xml:space="preserve"> přitom finanční podporu získávají ve stejné výši.</w:t>
      </w:r>
      <w:r w:rsidR="00481FD3">
        <w:rPr>
          <w:rFonts w:eastAsia="Calibri"/>
          <w:sz w:val="22"/>
          <w:szCs w:val="22"/>
          <w:lang w:eastAsia="en-US"/>
        </w:rPr>
        <w:t xml:space="preserve"> </w:t>
      </w:r>
      <w:r w:rsidR="00707838" w:rsidRPr="00707838">
        <w:rPr>
          <w:rFonts w:eastAsia="Calibri"/>
          <w:sz w:val="22"/>
          <w:szCs w:val="22"/>
          <w:lang w:eastAsia="en-US"/>
        </w:rPr>
        <w:t xml:space="preserve">Obě akce mají stejný ekonomický dopad v místě konání a fakticky stejnou výši podpory, ale hybridní </w:t>
      </w:r>
      <w:r w:rsidR="00481FD3">
        <w:rPr>
          <w:rFonts w:eastAsia="Calibri"/>
          <w:sz w:val="22"/>
          <w:szCs w:val="22"/>
          <w:lang w:eastAsia="en-US"/>
        </w:rPr>
        <w:t xml:space="preserve">akce </w:t>
      </w:r>
      <w:r w:rsidR="00707838" w:rsidRPr="00707838">
        <w:rPr>
          <w:rFonts w:eastAsia="Calibri"/>
          <w:sz w:val="22"/>
          <w:szCs w:val="22"/>
          <w:lang w:eastAsia="en-US"/>
        </w:rPr>
        <w:t xml:space="preserve">musí navíc zabezpečit online </w:t>
      </w:r>
      <w:r w:rsidR="00481FD3">
        <w:rPr>
          <w:rFonts w:eastAsia="Calibri"/>
          <w:sz w:val="22"/>
          <w:szCs w:val="22"/>
          <w:lang w:eastAsia="en-US"/>
        </w:rPr>
        <w:t xml:space="preserve">prezentaci, s čímž </w:t>
      </w:r>
      <w:r w:rsidR="00481FD3" w:rsidRPr="00707838">
        <w:rPr>
          <w:rFonts w:eastAsia="Calibri"/>
          <w:sz w:val="22"/>
          <w:szCs w:val="22"/>
          <w:lang w:eastAsia="en-US"/>
        </w:rPr>
        <w:t>nemusí</w:t>
      </w:r>
      <w:r w:rsidR="00481FD3">
        <w:rPr>
          <w:rFonts w:eastAsia="Calibri"/>
          <w:sz w:val="22"/>
          <w:szCs w:val="22"/>
          <w:lang w:eastAsia="en-US"/>
        </w:rPr>
        <w:t xml:space="preserve"> </w:t>
      </w:r>
      <w:r w:rsidR="00102CDC">
        <w:rPr>
          <w:rFonts w:eastAsia="Calibri"/>
          <w:sz w:val="22"/>
          <w:szCs w:val="22"/>
          <w:lang w:eastAsia="en-US"/>
        </w:rPr>
        <w:t xml:space="preserve">pořadatelská </w:t>
      </w:r>
      <w:r w:rsidR="00481FD3">
        <w:rPr>
          <w:rFonts w:eastAsia="Calibri"/>
          <w:sz w:val="22"/>
          <w:szCs w:val="22"/>
          <w:lang w:eastAsia="en-US"/>
        </w:rPr>
        <w:t xml:space="preserve">asociace </w:t>
      </w:r>
      <w:r w:rsidR="00707838" w:rsidRPr="00707838">
        <w:rPr>
          <w:rFonts w:eastAsia="Calibri"/>
          <w:sz w:val="22"/>
          <w:szCs w:val="22"/>
          <w:lang w:eastAsia="en-US"/>
        </w:rPr>
        <w:t>souhlasit</w:t>
      </w:r>
      <w:r w:rsidR="00481FD3">
        <w:rPr>
          <w:rFonts w:eastAsia="Calibri"/>
          <w:sz w:val="22"/>
          <w:szCs w:val="22"/>
          <w:lang w:eastAsia="en-US"/>
        </w:rPr>
        <w:t xml:space="preserve">. </w:t>
      </w:r>
    </w:p>
    <w:p w14:paraId="005C95A2" w14:textId="7062E739" w:rsidR="00C62D24" w:rsidRDefault="00481FD3" w:rsidP="00C62D2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Paní ředitelka Berková </w:t>
      </w:r>
      <w:r w:rsidR="00102CDC">
        <w:rPr>
          <w:rFonts w:eastAsia="Calibri"/>
          <w:sz w:val="22"/>
          <w:szCs w:val="22"/>
          <w:lang w:eastAsia="en-US"/>
        </w:rPr>
        <w:t>podotkla, že z její zkušenosti</w:t>
      </w:r>
      <w:r w:rsidR="004E64E4">
        <w:rPr>
          <w:rFonts w:eastAsia="Calibri"/>
          <w:sz w:val="22"/>
          <w:szCs w:val="22"/>
          <w:lang w:eastAsia="en-US"/>
        </w:rPr>
        <w:t xml:space="preserve"> organizátoři akcí často sami kontaktují HMP</w:t>
      </w:r>
      <w:r>
        <w:rPr>
          <w:rFonts w:eastAsia="Calibri"/>
          <w:sz w:val="22"/>
          <w:szCs w:val="22"/>
          <w:lang w:eastAsia="en-US"/>
        </w:rPr>
        <w:t xml:space="preserve"> v souvislosti s</w:t>
      </w:r>
      <w:r w:rsidR="00102CDC">
        <w:rPr>
          <w:rFonts w:eastAsia="Calibri"/>
          <w:sz w:val="22"/>
          <w:szCs w:val="22"/>
          <w:lang w:eastAsia="en-US"/>
        </w:rPr>
        <w:t xml:space="preserve"> nabídkou </w:t>
      </w:r>
      <w:r w:rsidR="002133F1">
        <w:rPr>
          <w:rFonts w:eastAsia="Calibri"/>
          <w:sz w:val="22"/>
          <w:szCs w:val="22"/>
          <w:lang w:eastAsia="en-US"/>
        </w:rPr>
        <w:t xml:space="preserve">dobrovolné </w:t>
      </w:r>
      <w:r>
        <w:rPr>
          <w:rFonts w:eastAsia="Calibri"/>
          <w:sz w:val="22"/>
          <w:szCs w:val="22"/>
          <w:lang w:eastAsia="en-US"/>
        </w:rPr>
        <w:t>prezentac</w:t>
      </w:r>
      <w:r w:rsidR="00102CDC">
        <w:rPr>
          <w:rFonts w:eastAsia="Calibri"/>
          <w:sz w:val="22"/>
          <w:szCs w:val="22"/>
          <w:lang w:eastAsia="en-US"/>
        </w:rPr>
        <w:t>e</w:t>
      </w:r>
      <w:r>
        <w:rPr>
          <w:rFonts w:eastAsia="Calibri"/>
          <w:sz w:val="22"/>
          <w:szCs w:val="22"/>
          <w:lang w:eastAsia="en-US"/>
        </w:rPr>
        <w:t xml:space="preserve"> Prahy</w:t>
      </w:r>
      <w:r w:rsidR="00102CDC">
        <w:rPr>
          <w:rFonts w:eastAsia="Calibri"/>
          <w:sz w:val="22"/>
          <w:szCs w:val="22"/>
          <w:lang w:eastAsia="en-US"/>
        </w:rPr>
        <w:t xml:space="preserve"> na svých akcích</w:t>
      </w:r>
      <w:r>
        <w:rPr>
          <w:rFonts w:eastAsia="Calibri"/>
          <w:sz w:val="22"/>
          <w:szCs w:val="22"/>
          <w:lang w:eastAsia="en-US"/>
        </w:rPr>
        <w:t>, neboť to berou jako věc jakési prestiže</w:t>
      </w:r>
      <w:r w:rsidR="004E64E4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Dále d</w:t>
      </w:r>
      <w:r w:rsidR="004E64E4">
        <w:rPr>
          <w:rFonts w:eastAsia="Calibri"/>
          <w:sz w:val="22"/>
          <w:szCs w:val="22"/>
          <w:lang w:eastAsia="en-US"/>
        </w:rPr>
        <w:t xml:space="preserve">odala, že </w:t>
      </w:r>
      <w:r w:rsidR="00102CDC">
        <w:rPr>
          <w:rFonts w:eastAsia="Calibri"/>
          <w:sz w:val="22"/>
          <w:szCs w:val="22"/>
          <w:lang w:eastAsia="en-US"/>
        </w:rPr>
        <w:t xml:space="preserve">opačně HMP </w:t>
      </w:r>
      <w:r w:rsidR="004E64E4">
        <w:rPr>
          <w:rFonts w:eastAsia="Calibri"/>
          <w:sz w:val="22"/>
          <w:szCs w:val="22"/>
          <w:lang w:eastAsia="en-US"/>
        </w:rPr>
        <w:t>některé platformy využívá i pro informování Pražanů např. formou prezentačních stánků apod.</w:t>
      </w:r>
      <w:r w:rsidR="00C62D24">
        <w:rPr>
          <w:rFonts w:eastAsia="Calibri"/>
          <w:sz w:val="22"/>
          <w:szCs w:val="22"/>
          <w:lang w:eastAsia="en-US"/>
        </w:rPr>
        <w:t xml:space="preserve"> </w:t>
      </w:r>
      <w:r w:rsidR="004E64E4">
        <w:rPr>
          <w:rFonts w:eastAsia="Calibri"/>
          <w:sz w:val="22"/>
          <w:szCs w:val="22"/>
          <w:lang w:eastAsia="en-US"/>
        </w:rPr>
        <w:t xml:space="preserve"> Potenciál s</w:t>
      </w:r>
      <w:r>
        <w:rPr>
          <w:rFonts w:eastAsia="Calibri"/>
          <w:sz w:val="22"/>
          <w:szCs w:val="22"/>
          <w:lang w:eastAsia="en-US"/>
        </w:rPr>
        <w:t>e v</w:t>
      </w:r>
      <w:r w:rsidR="004E64E4">
        <w:rPr>
          <w:rFonts w:eastAsia="Calibri"/>
          <w:sz w:val="22"/>
          <w:szCs w:val="22"/>
          <w:lang w:eastAsia="en-US"/>
        </w:rPr>
        <w:t>yužívá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4E64E4">
        <w:rPr>
          <w:rFonts w:eastAsia="Calibri"/>
          <w:sz w:val="22"/>
          <w:szCs w:val="22"/>
          <w:lang w:eastAsia="en-US"/>
        </w:rPr>
        <w:t xml:space="preserve">ale individuálně. </w:t>
      </w:r>
      <w:r w:rsidR="00C62D24">
        <w:rPr>
          <w:rFonts w:eastAsia="Calibri"/>
          <w:sz w:val="22"/>
          <w:szCs w:val="22"/>
          <w:lang w:eastAsia="en-US"/>
        </w:rPr>
        <w:t xml:space="preserve">OMM MHMP nemá kapacitu pro oslovování všech organizátorů akcí. </w:t>
      </w:r>
    </w:p>
    <w:p w14:paraId="1558B666" w14:textId="4E4C942C" w:rsidR="00481FD3" w:rsidRDefault="00C62D24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Bc. Roman Muška</w:t>
      </w:r>
      <w:r w:rsidR="00481FD3">
        <w:rPr>
          <w:rFonts w:eastAsia="Calibri"/>
          <w:sz w:val="22"/>
          <w:szCs w:val="22"/>
          <w:lang w:eastAsia="en-US"/>
        </w:rPr>
        <w:t xml:space="preserve"> se zeptal, jak je technicky myšleno pou</w:t>
      </w:r>
      <w:r>
        <w:rPr>
          <w:rFonts w:eastAsia="Calibri"/>
          <w:sz w:val="22"/>
          <w:szCs w:val="22"/>
          <w:lang w:eastAsia="en-US"/>
        </w:rPr>
        <w:t>ž</w:t>
      </w:r>
      <w:r w:rsidR="00481FD3">
        <w:rPr>
          <w:rFonts w:eastAsia="Calibri"/>
          <w:sz w:val="22"/>
          <w:szCs w:val="22"/>
          <w:lang w:eastAsia="en-US"/>
        </w:rPr>
        <w:t>ívání loga</w:t>
      </w:r>
      <w:r>
        <w:rPr>
          <w:rFonts w:eastAsia="Calibri"/>
          <w:sz w:val="22"/>
          <w:szCs w:val="22"/>
          <w:lang w:eastAsia="en-US"/>
        </w:rPr>
        <w:t xml:space="preserve"> či banneru, </w:t>
      </w:r>
      <w:r w:rsidR="00481FD3">
        <w:rPr>
          <w:rFonts w:eastAsia="Calibri"/>
          <w:sz w:val="22"/>
          <w:szCs w:val="22"/>
          <w:lang w:eastAsia="en-US"/>
        </w:rPr>
        <w:t xml:space="preserve">zda až po podpisu smlouvy nebo už </w:t>
      </w:r>
      <w:r>
        <w:rPr>
          <w:rFonts w:eastAsia="Calibri"/>
          <w:sz w:val="22"/>
          <w:szCs w:val="22"/>
          <w:lang w:eastAsia="en-US"/>
        </w:rPr>
        <w:t xml:space="preserve">i </w:t>
      </w:r>
      <w:r w:rsidR="00481FD3">
        <w:rPr>
          <w:rFonts w:eastAsia="Calibri"/>
          <w:sz w:val="22"/>
          <w:szCs w:val="22"/>
          <w:lang w:eastAsia="en-US"/>
        </w:rPr>
        <w:t>dříve</w:t>
      </w:r>
      <w:r>
        <w:rPr>
          <w:rFonts w:eastAsia="Calibri"/>
          <w:sz w:val="22"/>
          <w:szCs w:val="22"/>
          <w:lang w:eastAsia="en-US"/>
        </w:rPr>
        <w:t>; v</w:t>
      </w:r>
      <w:r w:rsidR="00481FD3">
        <w:rPr>
          <w:rFonts w:eastAsia="Calibri"/>
          <w:sz w:val="22"/>
          <w:szCs w:val="22"/>
          <w:lang w:eastAsia="en-US"/>
        </w:rPr>
        <w:t> jaké fázi dochází k</w:t>
      </w:r>
      <w:r>
        <w:rPr>
          <w:rFonts w:eastAsia="Calibri"/>
          <w:sz w:val="22"/>
          <w:szCs w:val="22"/>
          <w:lang w:eastAsia="en-US"/>
        </w:rPr>
        <w:t> </w:t>
      </w:r>
      <w:proofErr w:type="gramStart"/>
      <w:r w:rsidR="00481FD3">
        <w:rPr>
          <w:rFonts w:eastAsia="Calibri"/>
          <w:sz w:val="22"/>
          <w:szCs w:val="22"/>
          <w:lang w:eastAsia="en-US"/>
        </w:rPr>
        <w:t>plnění</w:t>
      </w:r>
      <w:r>
        <w:rPr>
          <w:rFonts w:eastAsia="Calibri"/>
          <w:sz w:val="22"/>
          <w:szCs w:val="22"/>
          <w:lang w:eastAsia="en-US"/>
        </w:rPr>
        <w:t xml:space="preserve"> - </w:t>
      </w:r>
      <w:r w:rsidR="00481FD3">
        <w:rPr>
          <w:rFonts w:eastAsia="Calibri"/>
          <w:sz w:val="22"/>
          <w:szCs w:val="22"/>
          <w:lang w:eastAsia="en-US"/>
        </w:rPr>
        <w:t>při</w:t>
      </w:r>
      <w:proofErr w:type="gramEnd"/>
      <w:r w:rsidR="00481FD3">
        <w:rPr>
          <w:rFonts w:eastAsia="Calibri"/>
          <w:sz w:val="22"/>
          <w:szCs w:val="22"/>
          <w:lang w:eastAsia="en-US"/>
        </w:rPr>
        <w:t xml:space="preserve"> propagaci akce na webových stránkách </w:t>
      </w:r>
      <w:r w:rsidR="002133F1">
        <w:rPr>
          <w:rFonts w:eastAsia="Calibri"/>
          <w:sz w:val="22"/>
          <w:szCs w:val="22"/>
          <w:lang w:eastAsia="en-US"/>
        </w:rPr>
        <w:t xml:space="preserve">akce </w:t>
      </w:r>
      <w:r w:rsidR="00481FD3">
        <w:rPr>
          <w:rFonts w:eastAsia="Calibri"/>
          <w:sz w:val="22"/>
          <w:szCs w:val="22"/>
          <w:lang w:eastAsia="en-US"/>
        </w:rPr>
        <w:t>dlouho dopředu nebo po podpisu smlouvy</w:t>
      </w:r>
      <w:r w:rsidR="00DF73FC">
        <w:rPr>
          <w:rFonts w:eastAsia="Calibri"/>
          <w:sz w:val="22"/>
          <w:szCs w:val="22"/>
          <w:lang w:eastAsia="en-US"/>
        </w:rPr>
        <w:t>.</w:t>
      </w:r>
    </w:p>
    <w:p w14:paraId="10CC22A1" w14:textId="77777777" w:rsidR="003A7419" w:rsidRDefault="00C62D24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</w:t>
      </w:r>
      <w:r w:rsidR="003A7419">
        <w:rPr>
          <w:rFonts w:eastAsia="Calibri"/>
          <w:sz w:val="22"/>
          <w:szCs w:val="22"/>
          <w:lang w:eastAsia="en-US"/>
        </w:rPr>
        <w:t>g</w:t>
      </w:r>
      <w:r>
        <w:rPr>
          <w:rFonts w:eastAsia="Calibri"/>
          <w:sz w:val="22"/>
          <w:szCs w:val="22"/>
          <w:lang w:eastAsia="en-US"/>
        </w:rPr>
        <w:t xml:space="preserve">. Iveta Jechová odpověděla, </w:t>
      </w:r>
      <w:r w:rsidR="00DF73FC">
        <w:rPr>
          <w:rFonts w:eastAsia="Calibri"/>
          <w:sz w:val="22"/>
          <w:szCs w:val="22"/>
          <w:lang w:eastAsia="en-US"/>
        </w:rPr>
        <w:t>že akcí, kt</w:t>
      </w:r>
      <w:r>
        <w:rPr>
          <w:rFonts w:eastAsia="Calibri"/>
          <w:sz w:val="22"/>
          <w:szCs w:val="22"/>
          <w:lang w:eastAsia="en-US"/>
        </w:rPr>
        <w:t>e</w:t>
      </w:r>
      <w:r w:rsidR="00DF73FC">
        <w:rPr>
          <w:rFonts w:eastAsia="Calibri"/>
          <w:sz w:val="22"/>
          <w:szCs w:val="22"/>
          <w:lang w:eastAsia="en-US"/>
        </w:rPr>
        <w:t>ré se konají hned zpočátku roku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DF73FC">
        <w:rPr>
          <w:rFonts w:eastAsia="Calibri"/>
          <w:sz w:val="22"/>
          <w:szCs w:val="22"/>
          <w:lang w:eastAsia="en-US"/>
        </w:rPr>
        <w:t xml:space="preserve">nebývá tolik a že </w:t>
      </w:r>
      <w:r>
        <w:rPr>
          <w:rFonts w:eastAsia="Calibri"/>
          <w:sz w:val="22"/>
          <w:szCs w:val="22"/>
          <w:lang w:eastAsia="en-US"/>
        </w:rPr>
        <w:t xml:space="preserve">domáhat se užití loga </w:t>
      </w:r>
      <w:r w:rsidR="003A7419">
        <w:rPr>
          <w:rFonts w:eastAsia="Calibri"/>
          <w:sz w:val="22"/>
          <w:szCs w:val="22"/>
          <w:lang w:eastAsia="en-US"/>
        </w:rPr>
        <w:t xml:space="preserve">po příjemci dotace je možné až po podpisu smlouvy. </w:t>
      </w:r>
    </w:p>
    <w:p w14:paraId="27D67CB8" w14:textId="4797DD51" w:rsidR="00DF73FC" w:rsidRDefault="003A7419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62D24">
        <w:rPr>
          <w:rFonts w:eastAsia="Calibri"/>
          <w:sz w:val="22"/>
          <w:szCs w:val="22"/>
          <w:lang w:eastAsia="en-US"/>
        </w:rPr>
        <w:t>Paní ředitelka Berková</w:t>
      </w:r>
      <w:r w:rsidR="00DF73FC">
        <w:rPr>
          <w:rFonts w:eastAsia="Calibri"/>
          <w:sz w:val="22"/>
          <w:szCs w:val="22"/>
          <w:lang w:eastAsia="en-US"/>
        </w:rPr>
        <w:t xml:space="preserve"> doplnila, že užití loga HMP není vázáno pouze na finanční podporu (může jít i o zábory, komunikační podporu</w:t>
      </w:r>
      <w:r>
        <w:rPr>
          <w:rFonts w:eastAsia="Calibri"/>
          <w:sz w:val="22"/>
          <w:szCs w:val="22"/>
          <w:lang w:eastAsia="en-US"/>
        </w:rPr>
        <w:t>, záštitu</w:t>
      </w:r>
      <w:r w:rsidR="00DF73FC">
        <w:rPr>
          <w:rFonts w:eastAsia="Calibri"/>
          <w:sz w:val="22"/>
          <w:szCs w:val="22"/>
          <w:lang w:eastAsia="en-US"/>
        </w:rPr>
        <w:t xml:space="preserve"> atd.)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DF73FC">
        <w:rPr>
          <w:rFonts w:eastAsia="Calibri"/>
          <w:sz w:val="22"/>
          <w:szCs w:val="22"/>
          <w:lang w:eastAsia="en-US"/>
        </w:rPr>
        <w:t xml:space="preserve">Zdůraznila i věc prestiže </w:t>
      </w:r>
      <w:r>
        <w:rPr>
          <w:rFonts w:eastAsia="Calibri"/>
          <w:sz w:val="22"/>
          <w:szCs w:val="22"/>
          <w:lang w:eastAsia="en-US"/>
        </w:rPr>
        <w:t xml:space="preserve">užití loga HMP </w:t>
      </w:r>
      <w:r w:rsidR="00DF73FC">
        <w:rPr>
          <w:rFonts w:eastAsia="Calibri"/>
          <w:sz w:val="22"/>
          <w:szCs w:val="22"/>
          <w:lang w:eastAsia="en-US"/>
        </w:rPr>
        <w:t>pro organizátory akce. Organizátoři č</w:t>
      </w:r>
      <w:r>
        <w:rPr>
          <w:rFonts w:eastAsia="Calibri"/>
          <w:sz w:val="22"/>
          <w:szCs w:val="22"/>
          <w:lang w:eastAsia="en-US"/>
        </w:rPr>
        <w:t>a</w:t>
      </w:r>
      <w:r w:rsidR="00DF73FC">
        <w:rPr>
          <w:rFonts w:eastAsia="Calibri"/>
          <w:sz w:val="22"/>
          <w:szCs w:val="22"/>
          <w:lang w:eastAsia="en-US"/>
        </w:rPr>
        <w:t xml:space="preserve">sto komunikují užití loga </w:t>
      </w:r>
      <w:r>
        <w:rPr>
          <w:rFonts w:eastAsia="Calibri"/>
          <w:sz w:val="22"/>
          <w:szCs w:val="22"/>
          <w:lang w:eastAsia="en-US"/>
        </w:rPr>
        <w:t xml:space="preserve">ještě před </w:t>
      </w:r>
      <w:r w:rsidR="00DF73FC">
        <w:rPr>
          <w:rFonts w:eastAsia="Calibri"/>
          <w:sz w:val="22"/>
          <w:szCs w:val="22"/>
          <w:lang w:eastAsia="en-US"/>
        </w:rPr>
        <w:t>podpisem smlouvy</w:t>
      </w:r>
      <w:r>
        <w:rPr>
          <w:rFonts w:eastAsia="Calibri"/>
          <w:sz w:val="22"/>
          <w:szCs w:val="22"/>
          <w:lang w:eastAsia="en-US"/>
        </w:rPr>
        <w:t xml:space="preserve"> i s myšlenkou, že dotace ve výsledku nemusí být schválena</w:t>
      </w:r>
      <w:r w:rsidR="00DF73FC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V</w:t>
      </w:r>
      <w:r w:rsidR="00DF73FC">
        <w:rPr>
          <w:rFonts w:eastAsia="Calibri"/>
          <w:sz w:val="22"/>
          <w:szCs w:val="22"/>
          <w:lang w:eastAsia="en-US"/>
        </w:rPr>
        <w:t> tomto případě</w:t>
      </w:r>
      <w:r>
        <w:rPr>
          <w:rFonts w:eastAsia="Calibri"/>
          <w:sz w:val="22"/>
          <w:szCs w:val="22"/>
          <w:lang w:eastAsia="en-US"/>
        </w:rPr>
        <w:t xml:space="preserve"> by se ale nejednalo z jejího pohledu o</w:t>
      </w:r>
      <w:r w:rsidR="00DF73FC">
        <w:rPr>
          <w:rFonts w:eastAsia="Calibri"/>
          <w:sz w:val="22"/>
          <w:szCs w:val="22"/>
          <w:lang w:eastAsia="en-US"/>
        </w:rPr>
        <w:t xml:space="preserve"> neoprávně</w:t>
      </w:r>
      <w:r>
        <w:rPr>
          <w:rFonts w:eastAsia="Calibri"/>
          <w:sz w:val="22"/>
          <w:szCs w:val="22"/>
          <w:lang w:eastAsia="en-US"/>
        </w:rPr>
        <w:t>n</w:t>
      </w:r>
      <w:r w:rsidR="00DF73FC">
        <w:rPr>
          <w:rFonts w:eastAsia="Calibri"/>
          <w:sz w:val="22"/>
          <w:szCs w:val="22"/>
          <w:lang w:eastAsia="en-US"/>
        </w:rPr>
        <w:t xml:space="preserve">ou reklamu, to by bylo v případě, pokud by se jednalo např. o akci, která je proti </w:t>
      </w:r>
      <w:r w:rsidR="00BD6282">
        <w:rPr>
          <w:rFonts w:eastAsia="Calibri"/>
          <w:sz w:val="22"/>
          <w:szCs w:val="22"/>
          <w:lang w:eastAsia="en-US"/>
        </w:rPr>
        <w:t>etickým</w:t>
      </w:r>
      <w:r w:rsidR="00DF73FC">
        <w:rPr>
          <w:rFonts w:eastAsia="Calibri"/>
          <w:sz w:val="22"/>
          <w:szCs w:val="22"/>
          <w:lang w:eastAsia="en-US"/>
        </w:rPr>
        <w:t xml:space="preserve"> zásadám atp.</w:t>
      </w:r>
    </w:p>
    <w:p w14:paraId="77121BC0" w14:textId="431914D1" w:rsidR="00E07BF6" w:rsidRDefault="00DF73FC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</w:t>
      </w:r>
      <w:r w:rsidR="00625D87">
        <w:rPr>
          <w:rFonts w:eastAsia="Calibri"/>
          <w:sz w:val="22"/>
          <w:szCs w:val="22"/>
          <w:lang w:eastAsia="en-US"/>
        </w:rPr>
        <w:t xml:space="preserve">ichal </w:t>
      </w:r>
      <w:r>
        <w:rPr>
          <w:rFonts w:eastAsia="Calibri"/>
          <w:sz w:val="22"/>
          <w:szCs w:val="22"/>
          <w:lang w:eastAsia="en-US"/>
        </w:rPr>
        <w:t>V</w:t>
      </w:r>
      <w:r w:rsidR="00625D87">
        <w:rPr>
          <w:rFonts w:eastAsia="Calibri"/>
          <w:sz w:val="22"/>
          <w:szCs w:val="22"/>
          <w:lang w:eastAsia="en-US"/>
        </w:rPr>
        <w:t>eber k tomuto bodu</w:t>
      </w:r>
      <w:r>
        <w:rPr>
          <w:rFonts w:eastAsia="Calibri"/>
          <w:sz w:val="22"/>
          <w:szCs w:val="22"/>
          <w:lang w:eastAsia="en-US"/>
        </w:rPr>
        <w:t xml:space="preserve"> uvedl, že pokud by existoval nějaký univerzální spot prezentující HMP jako turistickou destinaci, u hybridních akcí by neměl být s prezentací problém, neboť</w:t>
      </w:r>
      <w:r w:rsidR="00625D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se pouze pus</w:t>
      </w:r>
      <w:r w:rsidR="00625D87">
        <w:rPr>
          <w:rFonts w:eastAsia="Calibri"/>
          <w:sz w:val="22"/>
          <w:szCs w:val="22"/>
          <w:lang w:eastAsia="en-US"/>
        </w:rPr>
        <w:t>t</w:t>
      </w:r>
      <w:r>
        <w:rPr>
          <w:rFonts w:eastAsia="Calibri"/>
          <w:sz w:val="22"/>
          <w:szCs w:val="22"/>
          <w:lang w:eastAsia="en-US"/>
        </w:rPr>
        <w:t>í tento spot</w:t>
      </w:r>
      <w:r w:rsidR="004A281A">
        <w:rPr>
          <w:rFonts w:eastAsia="Calibri"/>
          <w:sz w:val="22"/>
          <w:szCs w:val="22"/>
          <w:lang w:eastAsia="en-US"/>
        </w:rPr>
        <w:t>, což není nijak technicky náročné a funguje to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625D87">
        <w:rPr>
          <w:rFonts w:eastAsia="Calibri"/>
          <w:sz w:val="22"/>
          <w:szCs w:val="22"/>
          <w:lang w:eastAsia="en-US"/>
        </w:rPr>
        <w:t>Ú</w:t>
      </w:r>
      <w:r>
        <w:rPr>
          <w:rFonts w:eastAsia="Calibri"/>
          <w:sz w:val="22"/>
          <w:szCs w:val="22"/>
          <w:lang w:eastAsia="en-US"/>
        </w:rPr>
        <w:t xml:space="preserve">prava </w:t>
      </w:r>
      <w:r w:rsidR="004A281A">
        <w:rPr>
          <w:rFonts w:eastAsia="Calibri"/>
          <w:sz w:val="22"/>
          <w:szCs w:val="22"/>
          <w:lang w:eastAsia="en-US"/>
        </w:rPr>
        <w:t xml:space="preserve">zásad </w:t>
      </w:r>
      <w:r w:rsidR="002133F1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>rogramu podpory by měla být taková, aby žadatel již při podání žádosti o této podmínce věděl a každý, kdo by chtěl dotaci, by měl být schopen a ochoten tuto povinnost spln</w:t>
      </w:r>
      <w:r w:rsidR="00625D87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t. </w:t>
      </w:r>
      <w:r w:rsidR="00625D87">
        <w:rPr>
          <w:rFonts w:eastAsia="Calibri"/>
          <w:sz w:val="22"/>
          <w:szCs w:val="22"/>
          <w:lang w:eastAsia="en-US"/>
        </w:rPr>
        <w:t xml:space="preserve">Mělo by se jednat </w:t>
      </w:r>
      <w:r>
        <w:rPr>
          <w:rFonts w:eastAsia="Calibri"/>
          <w:sz w:val="22"/>
          <w:szCs w:val="22"/>
          <w:lang w:eastAsia="en-US"/>
        </w:rPr>
        <w:t>o</w:t>
      </w:r>
      <w:r w:rsidR="00625D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jakýsi „goodwill“.</w:t>
      </w:r>
    </w:p>
    <w:p w14:paraId="4E93359B" w14:textId="1AB8DBF3" w:rsidR="00DF73FC" w:rsidRDefault="00DF73FC" w:rsidP="00F665E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Vzhledem k</w:t>
      </w:r>
      <w:r w:rsidR="00625D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tomu, že nikdo z členů Komise již </w:t>
      </w:r>
      <w:r w:rsidR="00625D87">
        <w:rPr>
          <w:rFonts w:eastAsia="Calibri"/>
          <w:sz w:val="22"/>
          <w:szCs w:val="22"/>
          <w:lang w:eastAsia="en-US"/>
        </w:rPr>
        <w:t>k tomuto bodu nic neměl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625D87">
        <w:rPr>
          <w:rFonts w:eastAsia="Calibri"/>
          <w:sz w:val="22"/>
          <w:szCs w:val="22"/>
          <w:lang w:eastAsia="en-US"/>
        </w:rPr>
        <w:t xml:space="preserve">paní ředitelka Berková </w:t>
      </w:r>
      <w:r>
        <w:rPr>
          <w:rFonts w:eastAsia="Calibri"/>
          <w:sz w:val="22"/>
          <w:szCs w:val="22"/>
          <w:lang w:eastAsia="en-US"/>
        </w:rPr>
        <w:t xml:space="preserve">poděkovala za pozvání a </w:t>
      </w:r>
      <w:r w:rsidR="00625D87">
        <w:rPr>
          <w:rFonts w:eastAsia="Calibri"/>
          <w:sz w:val="22"/>
          <w:szCs w:val="22"/>
          <w:lang w:eastAsia="en-US"/>
        </w:rPr>
        <w:t>v</w:t>
      </w:r>
      <w:r w:rsidR="00102CDC">
        <w:rPr>
          <w:rFonts w:eastAsia="Calibri"/>
          <w:sz w:val="22"/>
          <w:szCs w:val="22"/>
          <w:lang w:eastAsia="en-US"/>
        </w:rPr>
        <w:t>e 14.2</w:t>
      </w:r>
      <w:r w:rsidR="00625D87">
        <w:rPr>
          <w:rFonts w:eastAsia="Calibri"/>
          <w:sz w:val="22"/>
          <w:szCs w:val="22"/>
          <w:lang w:eastAsia="en-US"/>
        </w:rPr>
        <w:t>5</w:t>
      </w:r>
      <w:r w:rsidR="00102CDC">
        <w:rPr>
          <w:rFonts w:eastAsia="Calibri"/>
          <w:sz w:val="22"/>
          <w:szCs w:val="22"/>
          <w:lang w:eastAsia="en-US"/>
        </w:rPr>
        <w:t xml:space="preserve"> se rozloučila. </w:t>
      </w:r>
    </w:p>
    <w:p w14:paraId="5B97558B" w14:textId="0CFF1C44" w:rsidR="00CC5897" w:rsidRDefault="00625D87" w:rsidP="004D66D1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CC5897" w:rsidRPr="00CC5897">
        <w:rPr>
          <w:rFonts w:eastAsia="Calibri"/>
          <w:b/>
          <w:sz w:val="28"/>
          <w:szCs w:val="28"/>
          <w:lang w:eastAsia="en-US"/>
        </w:rPr>
        <w:t>Projednání návrh</w:t>
      </w:r>
      <w:r w:rsidR="008F332E">
        <w:rPr>
          <w:rFonts w:eastAsia="Calibri"/>
          <w:b/>
          <w:sz w:val="28"/>
          <w:szCs w:val="28"/>
          <w:lang w:eastAsia="en-US"/>
        </w:rPr>
        <w:t>u</w:t>
      </w:r>
      <w:r w:rsidR="00CC5897" w:rsidRPr="00CC5897">
        <w:rPr>
          <w:rFonts w:eastAsia="Calibri"/>
          <w:b/>
          <w:sz w:val="28"/>
          <w:szCs w:val="28"/>
          <w:lang w:eastAsia="en-US"/>
        </w:rPr>
        <w:t xml:space="preserve"> Programu podpory cestovního ruchu pro rok 2023</w:t>
      </w:r>
    </w:p>
    <w:p w14:paraId="6ADD9F8C" w14:textId="42D82672" w:rsidR="00625D87" w:rsidRDefault="00735D6A" w:rsidP="004A281A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</w:t>
      </w:r>
      <w:r w:rsidR="00625D87">
        <w:rPr>
          <w:rFonts w:eastAsia="Calibri"/>
          <w:sz w:val="22"/>
          <w:szCs w:val="22"/>
          <w:lang w:eastAsia="en-US"/>
        </w:rPr>
        <w:t xml:space="preserve"> </w:t>
      </w:r>
      <w:r w:rsidR="004A281A">
        <w:rPr>
          <w:rFonts w:eastAsia="Calibri"/>
          <w:sz w:val="22"/>
          <w:szCs w:val="22"/>
          <w:lang w:eastAsia="en-US"/>
        </w:rPr>
        <w:t xml:space="preserve">uvedl tento bod a </w:t>
      </w:r>
      <w:r w:rsidR="00625D87">
        <w:rPr>
          <w:rFonts w:eastAsia="Calibri"/>
          <w:sz w:val="22"/>
          <w:szCs w:val="22"/>
          <w:lang w:eastAsia="en-US"/>
        </w:rPr>
        <w:t xml:space="preserve">hned předal slovo Ing. Ivetě Jechové, která nový návrh </w:t>
      </w:r>
      <w:r w:rsidRPr="00735D6A">
        <w:rPr>
          <w:rFonts w:eastAsia="Calibri"/>
          <w:sz w:val="22"/>
          <w:szCs w:val="22"/>
          <w:lang w:eastAsia="en-US"/>
        </w:rPr>
        <w:t>Programu podpory cestovního ruchu pro rok 202</w:t>
      </w:r>
      <w:r w:rsidR="00625D87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 (dále „Program“)</w:t>
      </w:r>
      <w:r w:rsidR="00625D87">
        <w:rPr>
          <w:rFonts w:eastAsia="Calibri"/>
          <w:sz w:val="22"/>
          <w:szCs w:val="22"/>
          <w:lang w:eastAsia="en-US"/>
        </w:rPr>
        <w:t xml:space="preserve"> představila. Všem členům této Komise i řediteli PCB, Romanu Muškovi byl návrh v předstihu zaslán k případným připomínkám a návrhům. Návrh Programu byl rovněž zaslán členům </w:t>
      </w:r>
      <w:r w:rsidR="002133F1">
        <w:rPr>
          <w:rFonts w:eastAsia="Calibri"/>
          <w:sz w:val="22"/>
          <w:szCs w:val="22"/>
          <w:lang w:eastAsia="en-US"/>
        </w:rPr>
        <w:t xml:space="preserve">další komise, </w:t>
      </w:r>
      <w:r w:rsidR="00625D87">
        <w:rPr>
          <w:rFonts w:eastAsia="Calibri"/>
          <w:sz w:val="22"/>
          <w:szCs w:val="22"/>
          <w:lang w:eastAsia="en-US"/>
        </w:rPr>
        <w:t>Komise RHMP pro oblast cestovního ruchu.</w:t>
      </w:r>
      <w:r w:rsidR="00C236E7">
        <w:rPr>
          <w:rFonts w:eastAsia="Calibri"/>
          <w:sz w:val="22"/>
          <w:szCs w:val="22"/>
          <w:lang w:eastAsia="en-US"/>
        </w:rPr>
        <w:t xml:space="preserve"> Kromě Ing. Jiřího Stýbla, který je členem obou Komisí, nikdo z členů Komise žádné podstatné připomínky k </w:t>
      </w:r>
      <w:r w:rsidR="00DA58E1">
        <w:rPr>
          <w:rFonts w:eastAsia="Calibri"/>
          <w:sz w:val="22"/>
          <w:szCs w:val="22"/>
          <w:lang w:eastAsia="en-US"/>
        </w:rPr>
        <w:t>P</w:t>
      </w:r>
      <w:r w:rsidR="00C236E7">
        <w:rPr>
          <w:rFonts w:eastAsia="Calibri"/>
          <w:sz w:val="22"/>
          <w:szCs w:val="22"/>
          <w:lang w:eastAsia="en-US"/>
        </w:rPr>
        <w:t xml:space="preserve">rogramu neměl. Pan </w:t>
      </w:r>
      <w:r w:rsidR="00DA58E1">
        <w:rPr>
          <w:rFonts w:eastAsia="Calibri"/>
          <w:sz w:val="22"/>
          <w:szCs w:val="22"/>
          <w:lang w:eastAsia="en-US"/>
        </w:rPr>
        <w:t>R</w:t>
      </w:r>
      <w:r w:rsidR="00C236E7">
        <w:rPr>
          <w:rFonts w:eastAsia="Calibri"/>
          <w:sz w:val="22"/>
          <w:szCs w:val="22"/>
          <w:lang w:eastAsia="en-US"/>
        </w:rPr>
        <w:t xml:space="preserve">oman Muška, jako host </w:t>
      </w:r>
      <w:r w:rsidR="00DA58E1">
        <w:rPr>
          <w:rFonts w:eastAsia="Calibri"/>
          <w:sz w:val="22"/>
          <w:szCs w:val="22"/>
          <w:lang w:eastAsia="en-US"/>
        </w:rPr>
        <w:t>Komise pro udělování grantů v oblasti cestovního ruchu, zaslal své dotazy den před Komisí</w:t>
      </w:r>
      <w:r w:rsidR="007B3DDF">
        <w:rPr>
          <w:rFonts w:eastAsia="Calibri"/>
          <w:sz w:val="22"/>
          <w:szCs w:val="22"/>
          <w:lang w:eastAsia="en-US"/>
        </w:rPr>
        <w:t xml:space="preserve">, </w:t>
      </w:r>
      <w:r w:rsidR="002133F1">
        <w:rPr>
          <w:rFonts w:eastAsia="Calibri"/>
          <w:sz w:val="22"/>
          <w:szCs w:val="22"/>
          <w:lang w:eastAsia="en-US"/>
        </w:rPr>
        <w:t>ty</w:t>
      </w:r>
      <w:r w:rsidR="007B3DDF">
        <w:rPr>
          <w:rFonts w:eastAsia="Calibri"/>
          <w:sz w:val="22"/>
          <w:szCs w:val="22"/>
          <w:lang w:eastAsia="en-US"/>
        </w:rPr>
        <w:t xml:space="preserve"> byly zodpovězeny v rámci představení Programu i samostatně v následné diskusi k Programu.</w:t>
      </w:r>
    </w:p>
    <w:p w14:paraId="22EA561D" w14:textId="4F6DE135" w:rsidR="004A281A" w:rsidRDefault="007D2491" w:rsidP="004A281A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Iveta Jechová </w:t>
      </w:r>
      <w:r w:rsidR="007B3DDF">
        <w:rPr>
          <w:rFonts w:eastAsia="Calibri"/>
          <w:sz w:val="22"/>
          <w:szCs w:val="22"/>
          <w:lang w:eastAsia="en-US"/>
        </w:rPr>
        <w:t>se při prezentaci nového návrhu Programu soustředila</w:t>
      </w:r>
      <w:r>
        <w:rPr>
          <w:rFonts w:eastAsia="Calibri"/>
          <w:sz w:val="22"/>
          <w:szCs w:val="22"/>
          <w:lang w:eastAsia="en-US"/>
        </w:rPr>
        <w:t xml:space="preserve"> především </w:t>
      </w:r>
      <w:r w:rsidR="007B3DDF">
        <w:rPr>
          <w:rFonts w:eastAsia="Calibri"/>
          <w:sz w:val="22"/>
          <w:szCs w:val="22"/>
          <w:lang w:eastAsia="en-US"/>
        </w:rPr>
        <w:t xml:space="preserve">na </w:t>
      </w:r>
      <w:r>
        <w:rPr>
          <w:rFonts w:eastAsia="Calibri"/>
          <w:sz w:val="22"/>
          <w:szCs w:val="22"/>
          <w:lang w:eastAsia="en-US"/>
        </w:rPr>
        <w:t xml:space="preserve">rozdíly oproti roku 2023. </w:t>
      </w:r>
      <w:r w:rsidR="002133F1">
        <w:rPr>
          <w:rFonts w:eastAsia="Calibri"/>
          <w:sz w:val="22"/>
          <w:szCs w:val="22"/>
          <w:lang w:eastAsia="en-US"/>
        </w:rPr>
        <w:t>P</w:t>
      </w:r>
      <w:r w:rsidR="007B3DDF">
        <w:rPr>
          <w:rFonts w:eastAsia="Calibri"/>
          <w:sz w:val="22"/>
          <w:szCs w:val="22"/>
          <w:lang w:eastAsia="en-US"/>
        </w:rPr>
        <w:t>ři přípravě návrhu</w:t>
      </w:r>
      <w:r>
        <w:rPr>
          <w:rFonts w:eastAsia="Calibri"/>
          <w:sz w:val="22"/>
          <w:szCs w:val="22"/>
          <w:lang w:eastAsia="en-US"/>
        </w:rPr>
        <w:t xml:space="preserve"> se vycházelo z Koncepce příjezdového cestovního ruchu do Prahy a z připomínek člen</w:t>
      </w:r>
      <w:r w:rsidR="007B3DDF">
        <w:rPr>
          <w:rFonts w:eastAsia="Calibri"/>
          <w:sz w:val="22"/>
          <w:szCs w:val="22"/>
          <w:lang w:eastAsia="en-US"/>
        </w:rPr>
        <w:t>ů</w:t>
      </w:r>
      <w:r>
        <w:rPr>
          <w:rFonts w:eastAsia="Calibri"/>
          <w:sz w:val="22"/>
          <w:szCs w:val="22"/>
          <w:lang w:eastAsia="en-US"/>
        </w:rPr>
        <w:t xml:space="preserve"> Komise</w:t>
      </w:r>
      <w:r w:rsidR="007B3DDF">
        <w:rPr>
          <w:rFonts w:eastAsia="Calibri"/>
          <w:sz w:val="22"/>
          <w:szCs w:val="22"/>
          <w:lang w:eastAsia="en-US"/>
        </w:rPr>
        <w:t xml:space="preserve"> z dřívějších zasedání</w:t>
      </w:r>
      <w:r>
        <w:rPr>
          <w:rFonts w:eastAsia="Calibri"/>
          <w:sz w:val="22"/>
          <w:szCs w:val="22"/>
          <w:lang w:eastAsia="en-US"/>
        </w:rPr>
        <w:t>.</w:t>
      </w:r>
      <w:r w:rsidR="00116BE4">
        <w:rPr>
          <w:rFonts w:eastAsia="Calibri"/>
          <w:sz w:val="22"/>
          <w:szCs w:val="22"/>
          <w:lang w:eastAsia="en-US"/>
        </w:rPr>
        <w:t xml:space="preserve"> </w:t>
      </w:r>
    </w:p>
    <w:p w14:paraId="5C0B76EE" w14:textId="779E855B" w:rsidR="007D2491" w:rsidRDefault="007D2491" w:rsidP="006F2944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>Program</w:t>
      </w:r>
      <w:r w:rsidR="007B3DDF">
        <w:rPr>
          <w:iCs/>
          <w:sz w:val="22"/>
          <w:szCs w:val="22"/>
        </w:rPr>
        <w:t xml:space="preserve"> pro rok 2023</w:t>
      </w:r>
      <w:r>
        <w:rPr>
          <w:iCs/>
          <w:sz w:val="22"/>
          <w:szCs w:val="22"/>
        </w:rPr>
        <w:t xml:space="preserve"> je opět rozdělen na dvě Opatření, d</w:t>
      </w:r>
      <w:r w:rsidRPr="00612517">
        <w:rPr>
          <w:iCs/>
          <w:sz w:val="22"/>
          <w:szCs w:val="22"/>
        </w:rPr>
        <w:t>otace lze poskytnout</w:t>
      </w:r>
      <w:r>
        <w:rPr>
          <w:iCs/>
          <w:sz w:val="22"/>
          <w:szCs w:val="22"/>
        </w:rPr>
        <w:t xml:space="preserve"> v rámci Opatření I. </w:t>
      </w:r>
      <w:r w:rsidRPr="00612517">
        <w:rPr>
          <w:iCs/>
          <w:sz w:val="22"/>
          <w:szCs w:val="22"/>
        </w:rPr>
        <w:t>na projekty</w:t>
      </w:r>
      <w:r>
        <w:rPr>
          <w:iCs/>
          <w:sz w:val="22"/>
          <w:szCs w:val="22"/>
        </w:rPr>
        <w:t xml:space="preserve"> asociačních kongresů a konferencí a v Opatření II. na významné akce s přínosem pro příjezdový cestovní ruch do Prahy. V </w:t>
      </w:r>
      <w:r w:rsidRPr="00F152CA">
        <w:rPr>
          <w:i/>
          <w:sz w:val="22"/>
          <w:szCs w:val="22"/>
        </w:rPr>
        <w:t>Opatření I. - Podpora asociačních kongresů a konferencí</w:t>
      </w:r>
      <w:r>
        <w:rPr>
          <w:iCs/>
          <w:sz w:val="22"/>
          <w:szCs w:val="22"/>
        </w:rPr>
        <w:t xml:space="preserve"> došlo k</w:t>
      </w:r>
      <w:r w:rsidR="007B3DDF">
        <w:rPr>
          <w:iCs/>
          <w:sz w:val="22"/>
          <w:szCs w:val="22"/>
        </w:rPr>
        <w:t xml:space="preserve"> drobné </w:t>
      </w:r>
      <w:r>
        <w:rPr>
          <w:iCs/>
          <w:sz w:val="22"/>
          <w:szCs w:val="22"/>
        </w:rPr>
        <w:t xml:space="preserve">úpravě formulace. Byly ponechány 2 kategorie, kategorie A </w:t>
      </w:r>
      <w:r w:rsidR="007B3DDF">
        <w:rPr>
          <w:iCs/>
          <w:sz w:val="22"/>
          <w:szCs w:val="22"/>
        </w:rPr>
        <w:t xml:space="preserve">pro větší kongresy/konference, zde zůstal </w:t>
      </w:r>
      <w:r w:rsidRPr="006E1000">
        <w:rPr>
          <w:bCs/>
          <w:sz w:val="22"/>
          <w:szCs w:val="22"/>
        </w:rPr>
        <w:t>minimáln</w:t>
      </w:r>
      <w:r w:rsidR="007B3DDF">
        <w:rPr>
          <w:bCs/>
          <w:sz w:val="22"/>
          <w:szCs w:val="22"/>
        </w:rPr>
        <w:t xml:space="preserve">í počet </w:t>
      </w:r>
      <w:r w:rsidR="007B3DDF" w:rsidRPr="00DA0489">
        <w:rPr>
          <w:bCs/>
          <w:sz w:val="22"/>
          <w:szCs w:val="22"/>
        </w:rPr>
        <w:t>registrovaných účastníků, kteří se</w:t>
      </w:r>
      <w:r w:rsidR="007B3DDF">
        <w:rPr>
          <w:bCs/>
          <w:sz w:val="22"/>
          <w:szCs w:val="22"/>
        </w:rPr>
        <w:t xml:space="preserve"> </w:t>
      </w:r>
      <w:r w:rsidR="007B3DDF" w:rsidRPr="00DA0489">
        <w:rPr>
          <w:bCs/>
          <w:sz w:val="22"/>
          <w:szCs w:val="22"/>
        </w:rPr>
        <w:t xml:space="preserve">zúčastní prezenčně a současně stráví v Praze minimálně </w:t>
      </w:r>
      <w:r w:rsidR="007B3DDF">
        <w:rPr>
          <w:bCs/>
          <w:sz w:val="22"/>
          <w:szCs w:val="22"/>
        </w:rPr>
        <w:t>jednu</w:t>
      </w:r>
      <w:r w:rsidR="007B3DDF" w:rsidRPr="00DA0489">
        <w:rPr>
          <w:bCs/>
          <w:sz w:val="22"/>
          <w:szCs w:val="22"/>
        </w:rPr>
        <w:t xml:space="preserve"> noc</w:t>
      </w:r>
      <w:r w:rsidR="007B3DDF">
        <w:rPr>
          <w:bCs/>
          <w:sz w:val="22"/>
          <w:szCs w:val="22"/>
        </w:rPr>
        <w:t>, na počtu</w:t>
      </w:r>
      <w:r w:rsidR="007B3DDF" w:rsidRPr="007D2491">
        <w:rPr>
          <w:bCs/>
          <w:sz w:val="22"/>
          <w:szCs w:val="22"/>
        </w:rPr>
        <w:t xml:space="preserve"> </w:t>
      </w:r>
      <w:r w:rsidRPr="007D2491">
        <w:rPr>
          <w:bCs/>
          <w:sz w:val="22"/>
          <w:szCs w:val="22"/>
        </w:rPr>
        <w:t>500</w:t>
      </w:r>
      <w:r w:rsidR="007B3DDF">
        <w:rPr>
          <w:bCs/>
          <w:sz w:val="22"/>
          <w:szCs w:val="22"/>
        </w:rPr>
        <w:t xml:space="preserve"> účastníků</w:t>
      </w:r>
      <w:r w:rsidRPr="00DA048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7B3DDF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ategori</w:t>
      </w:r>
      <w:r w:rsidR="002133F1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B. </w:t>
      </w:r>
      <w:r w:rsidR="007B3DDF">
        <w:rPr>
          <w:bCs/>
          <w:sz w:val="22"/>
          <w:szCs w:val="22"/>
        </w:rPr>
        <w:t xml:space="preserve">pak zůstala </w:t>
      </w:r>
      <w:r>
        <w:rPr>
          <w:bCs/>
          <w:sz w:val="22"/>
          <w:szCs w:val="22"/>
        </w:rPr>
        <w:t xml:space="preserve">pro </w:t>
      </w:r>
      <w:r w:rsidRPr="006E1000">
        <w:rPr>
          <w:bCs/>
          <w:sz w:val="22"/>
          <w:szCs w:val="22"/>
        </w:rPr>
        <w:t>event</w:t>
      </w:r>
      <w:r>
        <w:rPr>
          <w:bCs/>
          <w:sz w:val="22"/>
          <w:szCs w:val="22"/>
        </w:rPr>
        <w:t>y</w:t>
      </w:r>
      <w:r w:rsidRPr="006E1000">
        <w:rPr>
          <w:bCs/>
          <w:sz w:val="22"/>
          <w:szCs w:val="22"/>
        </w:rPr>
        <w:t xml:space="preserve">, které </w:t>
      </w:r>
      <w:r w:rsidRPr="007B3DDF">
        <w:rPr>
          <w:bCs/>
          <w:sz w:val="22"/>
          <w:szCs w:val="22"/>
        </w:rPr>
        <w:t xml:space="preserve">mají </w:t>
      </w:r>
      <w:proofErr w:type="gramStart"/>
      <w:r w:rsidRPr="007B3DDF">
        <w:rPr>
          <w:bCs/>
          <w:sz w:val="22"/>
          <w:szCs w:val="22"/>
        </w:rPr>
        <w:t>200 - 499</w:t>
      </w:r>
      <w:proofErr w:type="gramEnd"/>
      <w:r w:rsidRPr="007B3DDF">
        <w:rPr>
          <w:bCs/>
          <w:sz w:val="22"/>
          <w:szCs w:val="22"/>
        </w:rPr>
        <w:t xml:space="preserve"> registrovaných</w:t>
      </w:r>
      <w:r w:rsidRPr="006E1000">
        <w:rPr>
          <w:bCs/>
          <w:sz w:val="22"/>
          <w:szCs w:val="22"/>
        </w:rPr>
        <w:t xml:space="preserve"> účastníků, kteří </w:t>
      </w:r>
      <w:r>
        <w:rPr>
          <w:bCs/>
          <w:sz w:val="22"/>
          <w:szCs w:val="22"/>
        </w:rPr>
        <w:t>se</w:t>
      </w:r>
      <w:r w:rsidRPr="006E1000">
        <w:rPr>
          <w:bCs/>
          <w:sz w:val="22"/>
          <w:szCs w:val="22"/>
        </w:rPr>
        <w:t xml:space="preserve"> zúčastní prezenčně </w:t>
      </w:r>
      <w:r w:rsidRPr="006E1000">
        <w:rPr>
          <w:bCs/>
          <w:sz w:val="22"/>
          <w:szCs w:val="22"/>
        </w:rPr>
        <w:lastRenderedPageBreak/>
        <w:t xml:space="preserve">a současně stráví v Praze minimálně </w:t>
      </w:r>
      <w:r>
        <w:rPr>
          <w:bCs/>
          <w:sz w:val="22"/>
          <w:szCs w:val="22"/>
        </w:rPr>
        <w:t>jednu</w:t>
      </w:r>
      <w:r w:rsidRPr="006E1000">
        <w:rPr>
          <w:bCs/>
          <w:sz w:val="22"/>
          <w:szCs w:val="22"/>
        </w:rPr>
        <w:t xml:space="preserve"> noc.</w:t>
      </w:r>
      <w:r>
        <w:rPr>
          <w:bCs/>
          <w:sz w:val="22"/>
          <w:szCs w:val="22"/>
        </w:rPr>
        <w:t xml:space="preserve"> Vzhledem k tomu, že se situace v oblasti kongresového turismu příliš nezměnila</w:t>
      </w:r>
      <w:r w:rsidR="00116BE4">
        <w:rPr>
          <w:bCs/>
          <w:sz w:val="22"/>
          <w:szCs w:val="22"/>
        </w:rPr>
        <w:t>, byly ponechány</w:t>
      </w:r>
      <w:r w:rsidR="007B3DDF">
        <w:rPr>
          <w:bCs/>
          <w:sz w:val="22"/>
          <w:szCs w:val="22"/>
        </w:rPr>
        <w:t xml:space="preserve"> tyto</w:t>
      </w:r>
      <w:r w:rsidR="00116BE4">
        <w:rPr>
          <w:bCs/>
          <w:sz w:val="22"/>
          <w:szCs w:val="22"/>
        </w:rPr>
        <w:t xml:space="preserve"> kategorie</w:t>
      </w:r>
      <w:r w:rsidR="00F368EB">
        <w:rPr>
          <w:bCs/>
          <w:sz w:val="22"/>
          <w:szCs w:val="22"/>
        </w:rPr>
        <w:t xml:space="preserve"> stejně jako v </w:t>
      </w:r>
      <w:r w:rsidR="002133F1">
        <w:rPr>
          <w:bCs/>
          <w:sz w:val="22"/>
          <w:szCs w:val="22"/>
        </w:rPr>
        <w:t>P</w:t>
      </w:r>
      <w:r w:rsidR="00F368EB">
        <w:rPr>
          <w:bCs/>
          <w:sz w:val="22"/>
          <w:szCs w:val="22"/>
        </w:rPr>
        <w:t>rogramu pro rok 2022</w:t>
      </w:r>
      <w:r w:rsidR="00116BE4">
        <w:rPr>
          <w:bCs/>
          <w:sz w:val="22"/>
          <w:szCs w:val="22"/>
        </w:rPr>
        <w:t>. PCB navrhovala zavedení pouze jedné kategorie od 200 registrovaných účastníků,</w:t>
      </w:r>
      <w:r w:rsidR="00F368EB">
        <w:rPr>
          <w:bCs/>
          <w:sz w:val="22"/>
          <w:szCs w:val="22"/>
        </w:rPr>
        <w:t xml:space="preserve"> aby nedocházelo k znevýhodnění menších eventů, </w:t>
      </w:r>
      <w:r w:rsidR="00116BE4">
        <w:rPr>
          <w:bCs/>
          <w:sz w:val="22"/>
          <w:szCs w:val="22"/>
        </w:rPr>
        <w:t>ale j</w:t>
      </w:r>
      <w:r w:rsidR="00116BE4">
        <w:rPr>
          <w:rFonts w:eastAsia="Calibri"/>
          <w:sz w:val="22"/>
          <w:szCs w:val="22"/>
          <w:lang w:eastAsia="en-US"/>
        </w:rPr>
        <w:t xml:space="preserve">edním z argumentům, proč zachovat </w:t>
      </w:r>
      <w:r w:rsidR="00F368EB">
        <w:rPr>
          <w:rFonts w:eastAsia="Calibri"/>
          <w:sz w:val="22"/>
          <w:szCs w:val="22"/>
          <w:lang w:eastAsia="en-US"/>
        </w:rPr>
        <w:t xml:space="preserve">2 </w:t>
      </w:r>
      <w:r w:rsidR="00116BE4">
        <w:rPr>
          <w:rFonts w:eastAsia="Calibri"/>
          <w:sz w:val="22"/>
          <w:szCs w:val="22"/>
          <w:lang w:eastAsia="en-US"/>
        </w:rPr>
        <w:t>kategorie</w:t>
      </w:r>
      <w:r w:rsidR="00F368EB">
        <w:rPr>
          <w:rFonts w:eastAsia="Calibri"/>
          <w:sz w:val="22"/>
          <w:szCs w:val="22"/>
          <w:lang w:eastAsia="en-US"/>
        </w:rPr>
        <w:t xml:space="preserve">, </w:t>
      </w:r>
      <w:r w:rsidR="00116BE4">
        <w:rPr>
          <w:rFonts w:eastAsia="Calibri"/>
          <w:sz w:val="22"/>
          <w:szCs w:val="22"/>
          <w:lang w:eastAsia="en-US"/>
        </w:rPr>
        <w:t xml:space="preserve">bylo nadhodnocování počtu předpokládaných účastníků </w:t>
      </w:r>
      <w:r w:rsidR="002133F1">
        <w:rPr>
          <w:rFonts w:eastAsia="Calibri"/>
          <w:sz w:val="22"/>
          <w:szCs w:val="22"/>
          <w:lang w:eastAsia="en-US"/>
        </w:rPr>
        <w:t>žadateli o dotace</w:t>
      </w:r>
      <w:r w:rsidR="00116BE4">
        <w:rPr>
          <w:rFonts w:eastAsia="Calibri"/>
          <w:sz w:val="22"/>
          <w:szCs w:val="22"/>
          <w:lang w:eastAsia="en-US"/>
        </w:rPr>
        <w:t>, a tedy blokování finančních prostředků</w:t>
      </w:r>
      <w:r w:rsidR="00F368EB">
        <w:rPr>
          <w:rFonts w:eastAsia="Calibri"/>
          <w:sz w:val="22"/>
          <w:szCs w:val="22"/>
          <w:lang w:eastAsia="en-US"/>
        </w:rPr>
        <w:t xml:space="preserve"> HMP</w:t>
      </w:r>
      <w:r w:rsidR="00116BE4">
        <w:rPr>
          <w:rFonts w:eastAsia="Calibri"/>
          <w:sz w:val="22"/>
          <w:szCs w:val="22"/>
          <w:lang w:eastAsia="en-US"/>
        </w:rPr>
        <w:t xml:space="preserve">. Žadatelé by </w:t>
      </w:r>
      <w:r w:rsidR="002133F1">
        <w:rPr>
          <w:rFonts w:eastAsia="Calibri"/>
          <w:sz w:val="22"/>
          <w:szCs w:val="22"/>
          <w:lang w:eastAsia="en-US"/>
        </w:rPr>
        <w:t>požadoval</w:t>
      </w:r>
      <w:r w:rsidR="00116BE4">
        <w:rPr>
          <w:rFonts w:eastAsia="Calibri"/>
          <w:sz w:val="22"/>
          <w:szCs w:val="22"/>
          <w:lang w:eastAsia="en-US"/>
        </w:rPr>
        <w:t>i podporu pro více účastníků</w:t>
      </w:r>
      <w:r w:rsidR="00F368EB">
        <w:rPr>
          <w:rFonts w:eastAsia="Calibri"/>
          <w:sz w:val="22"/>
          <w:szCs w:val="22"/>
          <w:lang w:eastAsia="en-US"/>
        </w:rPr>
        <w:t xml:space="preserve">, </w:t>
      </w:r>
      <w:r w:rsidR="00116BE4">
        <w:rPr>
          <w:rFonts w:eastAsia="Calibri"/>
          <w:sz w:val="22"/>
          <w:szCs w:val="22"/>
          <w:lang w:eastAsia="en-US"/>
        </w:rPr>
        <w:t xml:space="preserve">následně při konečném vyúčtování </w:t>
      </w:r>
      <w:r w:rsidR="00F368EB">
        <w:rPr>
          <w:rFonts w:eastAsia="Calibri"/>
          <w:sz w:val="22"/>
          <w:szCs w:val="22"/>
          <w:lang w:eastAsia="en-US"/>
        </w:rPr>
        <w:t xml:space="preserve">by sice </w:t>
      </w:r>
      <w:r w:rsidR="00116BE4">
        <w:rPr>
          <w:rFonts w:eastAsia="Calibri"/>
          <w:sz w:val="22"/>
          <w:szCs w:val="22"/>
          <w:lang w:eastAsia="en-US"/>
        </w:rPr>
        <w:t>peníze vraceli</w:t>
      </w:r>
      <w:r w:rsidR="00F368EB">
        <w:rPr>
          <w:rFonts w:eastAsia="Calibri"/>
          <w:sz w:val="22"/>
          <w:szCs w:val="22"/>
          <w:lang w:eastAsia="en-US"/>
        </w:rPr>
        <w:t xml:space="preserve"> dle skutečného počtu registrovaných prezenčně se účastnících účastníků</w:t>
      </w:r>
      <w:r w:rsidR="00116BE4">
        <w:rPr>
          <w:rFonts w:eastAsia="Calibri"/>
          <w:sz w:val="22"/>
          <w:szCs w:val="22"/>
          <w:lang w:eastAsia="en-US"/>
        </w:rPr>
        <w:t xml:space="preserve">, </w:t>
      </w:r>
      <w:r w:rsidR="00F368EB">
        <w:rPr>
          <w:rFonts w:eastAsia="Calibri"/>
          <w:sz w:val="22"/>
          <w:szCs w:val="22"/>
          <w:lang w:eastAsia="en-US"/>
        </w:rPr>
        <w:t>o</w:t>
      </w:r>
      <w:r w:rsidR="00116BE4">
        <w:rPr>
          <w:rFonts w:eastAsia="Calibri"/>
          <w:sz w:val="22"/>
          <w:szCs w:val="22"/>
          <w:lang w:eastAsia="en-US"/>
        </w:rPr>
        <w:t xml:space="preserve">všem </w:t>
      </w:r>
      <w:r w:rsidR="00F368EB">
        <w:rPr>
          <w:rFonts w:eastAsia="Calibri"/>
          <w:sz w:val="22"/>
          <w:szCs w:val="22"/>
          <w:lang w:eastAsia="en-US"/>
        </w:rPr>
        <w:t xml:space="preserve">tyto vrácené finanční prostředky by se </w:t>
      </w:r>
      <w:r w:rsidR="00116BE4">
        <w:rPr>
          <w:rFonts w:eastAsia="Calibri"/>
          <w:sz w:val="22"/>
          <w:szCs w:val="22"/>
          <w:lang w:eastAsia="en-US"/>
        </w:rPr>
        <w:t xml:space="preserve">většinou </w:t>
      </w:r>
      <w:r w:rsidR="00F368EB">
        <w:rPr>
          <w:rFonts w:eastAsia="Calibri"/>
          <w:sz w:val="22"/>
          <w:szCs w:val="22"/>
          <w:lang w:eastAsia="en-US"/>
        </w:rPr>
        <w:t xml:space="preserve">vracely </w:t>
      </w:r>
      <w:r w:rsidR="00116BE4">
        <w:rPr>
          <w:rFonts w:eastAsia="Calibri"/>
          <w:sz w:val="22"/>
          <w:szCs w:val="22"/>
          <w:lang w:eastAsia="en-US"/>
        </w:rPr>
        <w:t xml:space="preserve">již do rozpočtu HMP, nikoliv zpět do oblasti cestovního ruchu. Navíc </w:t>
      </w:r>
      <w:r w:rsidR="002133F1">
        <w:rPr>
          <w:rFonts w:eastAsia="Calibri"/>
          <w:sz w:val="22"/>
          <w:szCs w:val="22"/>
          <w:lang w:eastAsia="en-US"/>
        </w:rPr>
        <w:t>na zasedáních komisí bylo opakovaně</w:t>
      </w:r>
      <w:r w:rsidR="00116BE4">
        <w:rPr>
          <w:rFonts w:eastAsia="Calibri"/>
          <w:sz w:val="22"/>
          <w:szCs w:val="22"/>
          <w:lang w:eastAsia="en-US"/>
        </w:rPr>
        <w:t xml:space="preserve"> deklarov</w:t>
      </w:r>
      <w:r w:rsidR="002133F1">
        <w:rPr>
          <w:rFonts w:eastAsia="Calibri"/>
          <w:sz w:val="22"/>
          <w:szCs w:val="22"/>
          <w:lang w:eastAsia="en-US"/>
        </w:rPr>
        <w:t>áno</w:t>
      </w:r>
      <w:r w:rsidR="00624C83">
        <w:rPr>
          <w:rFonts w:eastAsia="Calibri"/>
          <w:sz w:val="22"/>
          <w:szCs w:val="22"/>
          <w:lang w:eastAsia="en-US"/>
        </w:rPr>
        <w:t xml:space="preserve">, že smysl má </w:t>
      </w:r>
      <w:r w:rsidR="00116BE4">
        <w:rPr>
          <w:rFonts w:eastAsia="Calibri"/>
          <w:sz w:val="22"/>
          <w:szCs w:val="22"/>
          <w:lang w:eastAsia="en-US"/>
        </w:rPr>
        <w:t>podpor</w:t>
      </w:r>
      <w:r w:rsidR="00624C83">
        <w:rPr>
          <w:rFonts w:eastAsia="Calibri"/>
          <w:sz w:val="22"/>
          <w:szCs w:val="22"/>
          <w:lang w:eastAsia="en-US"/>
        </w:rPr>
        <w:t>a</w:t>
      </w:r>
      <w:r w:rsidR="00116BE4">
        <w:rPr>
          <w:rFonts w:eastAsia="Calibri"/>
          <w:sz w:val="22"/>
          <w:szCs w:val="22"/>
          <w:lang w:eastAsia="en-US"/>
        </w:rPr>
        <w:t xml:space="preserve"> velkým kongresům nebo konferencím, proto by měly větší akce dostávat podporu ve vyšší míře než akce menší.</w:t>
      </w:r>
      <w:r w:rsidR="008E4823">
        <w:rPr>
          <w:rFonts w:eastAsia="Calibri"/>
          <w:sz w:val="22"/>
          <w:szCs w:val="22"/>
          <w:lang w:eastAsia="en-US"/>
        </w:rPr>
        <w:t xml:space="preserve"> </w:t>
      </w:r>
      <w:r w:rsidR="00624C83">
        <w:rPr>
          <w:rFonts w:eastAsia="Calibri"/>
          <w:sz w:val="22"/>
          <w:szCs w:val="22"/>
          <w:lang w:eastAsia="en-US"/>
        </w:rPr>
        <w:t xml:space="preserve">Příspěvek na registrovaného účastníka je tak pro kategorii A (větší kongresy) vyšší než pro kategorii B. </w:t>
      </w:r>
      <w:r w:rsidR="008E4823">
        <w:rPr>
          <w:rFonts w:eastAsia="Calibri"/>
          <w:sz w:val="22"/>
          <w:szCs w:val="22"/>
          <w:lang w:eastAsia="en-US"/>
        </w:rPr>
        <w:t>Je to i motivace k uspořádání větších</w:t>
      </w:r>
      <w:r w:rsidR="00624C83">
        <w:rPr>
          <w:rFonts w:eastAsia="Calibri"/>
          <w:sz w:val="22"/>
          <w:szCs w:val="22"/>
          <w:lang w:eastAsia="en-US"/>
        </w:rPr>
        <w:t xml:space="preserve"> </w:t>
      </w:r>
      <w:r w:rsidR="008E4823">
        <w:rPr>
          <w:rFonts w:eastAsia="Calibri"/>
          <w:sz w:val="22"/>
          <w:szCs w:val="22"/>
          <w:lang w:eastAsia="en-US"/>
        </w:rPr>
        <w:t>akcí.</w:t>
      </w:r>
      <w:r w:rsidR="00624C83">
        <w:rPr>
          <w:rFonts w:eastAsia="Calibri"/>
          <w:sz w:val="22"/>
          <w:szCs w:val="22"/>
          <w:lang w:eastAsia="en-US"/>
        </w:rPr>
        <w:t xml:space="preserve"> </w:t>
      </w:r>
    </w:p>
    <w:p w14:paraId="2A8C38CF" w14:textId="5DFF28D1" w:rsidR="00CD7B6E" w:rsidRDefault="00116BE4" w:rsidP="00F1464A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 se týče </w:t>
      </w:r>
      <w:r w:rsidRPr="00F152CA">
        <w:rPr>
          <w:bCs/>
          <w:i/>
          <w:iCs/>
          <w:sz w:val="22"/>
          <w:szCs w:val="22"/>
        </w:rPr>
        <w:t>Opatření II. - Podpora akcí s celostátním nebo mezinárodním významem</w:t>
      </w:r>
      <w:r>
        <w:rPr>
          <w:bCs/>
          <w:sz w:val="22"/>
          <w:szCs w:val="22"/>
        </w:rPr>
        <w:t xml:space="preserve">, </w:t>
      </w:r>
      <w:r w:rsidR="00F152CA">
        <w:rPr>
          <w:bCs/>
          <w:sz w:val="22"/>
          <w:szCs w:val="22"/>
        </w:rPr>
        <w:t xml:space="preserve">toto Opatření zůstalo pro podporu akcí, které mají </w:t>
      </w:r>
      <w:r w:rsidR="00F152CA" w:rsidRPr="00E774C5">
        <w:rPr>
          <w:sz w:val="22"/>
          <w:szCs w:val="22"/>
        </w:rPr>
        <w:t>prokazatelný přínos pro příjezdový turismus do Pr</w:t>
      </w:r>
      <w:r w:rsidR="00F152CA" w:rsidRPr="00A343E9">
        <w:rPr>
          <w:sz w:val="22"/>
          <w:szCs w:val="22"/>
        </w:rPr>
        <w:t>ahy, mají potenciál zvýšit kvalitu turistické nabídky</w:t>
      </w:r>
      <w:r w:rsidR="00624C83">
        <w:rPr>
          <w:sz w:val="22"/>
          <w:szCs w:val="22"/>
        </w:rPr>
        <w:t xml:space="preserve"> nebo</w:t>
      </w:r>
      <w:r w:rsidR="00F152CA" w:rsidRPr="00A343E9">
        <w:rPr>
          <w:sz w:val="22"/>
          <w:szCs w:val="22"/>
        </w:rPr>
        <w:t xml:space="preserve"> </w:t>
      </w:r>
      <w:r w:rsidR="00624C83" w:rsidRPr="00407B1D">
        <w:rPr>
          <w:sz w:val="22"/>
          <w:szCs w:val="22"/>
        </w:rPr>
        <w:t>vygenerovat návštěvnost bonitní tuzemské a zahraniční klientely</w:t>
      </w:r>
      <w:r w:rsidR="00624C83">
        <w:rPr>
          <w:sz w:val="22"/>
          <w:szCs w:val="22"/>
        </w:rPr>
        <w:t>, navíc byl doplněn význam</w:t>
      </w:r>
      <w:r w:rsidR="00624C83" w:rsidRPr="00A343E9">
        <w:rPr>
          <w:sz w:val="22"/>
          <w:szCs w:val="22"/>
        </w:rPr>
        <w:t xml:space="preserve"> </w:t>
      </w:r>
      <w:r w:rsidR="00F152CA" w:rsidRPr="00A343E9">
        <w:rPr>
          <w:sz w:val="22"/>
          <w:szCs w:val="22"/>
        </w:rPr>
        <w:t>zvýš</w:t>
      </w:r>
      <w:r w:rsidR="00624C83">
        <w:rPr>
          <w:sz w:val="22"/>
          <w:szCs w:val="22"/>
        </w:rPr>
        <w:t>ení</w:t>
      </w:r>
      <w:r w:rsidR="00F152CA" w:rsidRPr="00A343E9">
        <w:rPr>
          <w:sz w:val="22"/>
          <w:szCs w:val="22"/>
        </w:rPr>
        <w:t xml:space="preserve"> prestiž</w:t>
      </w:r>
      <w:r w:rsidR="00624C83">
        <w:rPr>
          <w:sz w:val="22"/>
          <w:szCs w:val="22"/>
        </w:rPr>
        <w:t>e</w:t>
      </w:r>
      <w:r w:rsidR="00F152CA" w:rsidRPr="00A343E9">
        <w:rPr>
          <w:sz w:val="22"/>
          <w:szCs w:val="22"/>
        </w:rPr>
        <w:t xml:space="preserve"> Prahy v tuzemsku i zahraničí s přesahem do budoucna</w:t>
      </w:r>
      <w:r w:rsidR="00F152CA" w:rsidRPr="00407B1D">
        <w:rPr>
          <w:sz w:val="22"/>
          <w:szCs w:val="22"/>
        </w:rPr>
        <w:t xml:space="preserve">. </w:t>
      </w:r>
      <w:r w:rsidR="00624C83">
        <w:rPr>
          <w:sz w:val="22"/>
          <w:szCs w:val="22"/>
        </w:rPr>
        <w:t>U Opatření II. d</w:t>
      </w:r>
      <w:r>
        <w:rPr>
          <w:bCs/>
          <w:sz w:val="22"/>
          <w:szCs w:val="22"/>
        </w:rPr>
        <w:t xml:space="preserve">ošlo </w:t>
      </w:r>
      <w:r w:rsidR="00624C83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 rozdělení na dvě kategorie</w:t>
      </w:r>
      <w:r w:rsidR="00F152CA">
        <w:rPr>
          <w:bCs/>
          <w:sz w:val="22"/>
          <w:szCs w:val="22"/>
        </w:rPr>
        <w:t xml:space="preserve">. Na </w:t>
      </w:r>
      <w:r w:rsidR="00F152CA" w:rsidRPr="00624C83">
        <w:rPr>
          <w:bCs/>
          <w:sz w:val="22"/>
          <w:szCs w:val="22"/>
        </w:rPr>
        <w:t>kategorii II.A.</w:t>
      </w:r>
      <w:r w:rsidR="00624C83" w:rsidRPr="00624C83">
        <w:rPr>
          <w:bCs/>
          <w:sz w:val="22"/>
          <w:szCs w:val="22"/>
        </w:rPr>
        <w:t xml:space="preserve"> a</w:t>
      </w:r>
      <w:r w:rsidR="00624C83">
        <w:rPr>
          <w:bCs/>
          <w:sz w:val="22"/>
          <w:szCs w:val="22"/>
        </w:rPr>
        <w:t xml:space="preserve"> II.B.</w:t>
      </w:r>
      <w:r w:rsidR="00F152CA">
        <w:rPr>
          <w:bCs/>
          <w:sz w:val="22"/>
          <w:szCs w:val="22"/>
        </w:rPr>
        <w:t xml:space="preserve"> </w:t>
      </w:r>
      <w:r w:rsidR="00624C83">
        <w:rPr>
          <w:bCs/>
          <w:sz w:val="22"/>
          <w:szCs w:val="22"/>
        </w:rPr>
        <w:t>P</w:t>
      </w:r>
      <w:r w:rsidR="00F152CA" w:rsidRPr="00F152CA">
        <w:rPr>
          <w:bCs/>
          <w:sz w:val="22"/>
          <w:szCs w:val="22"/>
        </w:rPr>
        <w:t xml:space="preserve">odpora v </w:t>
      </w:r>
      <w:r w:rsidR="00624C83" w:rsidRPr="00624C83">
        <w:rPr>
          <w:bCs/>
          <w:i/>
          <w:iCs/>
          <w:sz w:val="22"/>
          <w:szCs w:val="22"/>
        </w:rPr>
        <w:t>k</w:t>
      </w:r>
      <w:r w:rsidR="00F152CA" w:rsidRPr="00624C83">
        <w:rPr>
          <w:bCs/>
          <w:i/>
          <w:iCs/>
          <w:sz w:val="22"/>
          <w:szCs w:val="22"/>
        </w:rPr>
        <w:t xml:space="preserve">ategorii </w:t>
      </w:r>
      <w:r w:rsidR="00624C83" w:rsidRPr="00624C83">
        <w:rPr>
          <w:bCs/>
          <w:i/>
          <w:iCs/>
          <w:sz w:val="22"/>
          <w:szCs w:val="22"/>
        </w:rPr>
        <w:t xml:space="preserve">II.A </w:t>
      </w:r>
      <w:r w:rsidR="00F152CA" w:rsidRPr="00F152CA">
        <w:rPr>
          <w:bCs/>
          <w:sz w:val="22"/>
          <w:szCs w:val="22"/>
        </w:rPr>
        <w:t>je určena na pořádání významných vícedenních akcí s celostátním nebo mezinárodním významem. Není určena na jakékoliv akce charakteru MICE</w:t>
      </w:r>
      <w:r w:rsidR="00F152CA">
        <w:rPr>
          <w:bCs/>
          <w:sz w:val="22"/>
          <w:szCs w:val="22"/>
        </w:rPr>
        <w:t>, přičemž p</w:t>
      </w:r>
      <w:r w:rsidR="00F152CA" w:rsidRPr="00F152CA">
        <w:rPr>
          <w:bCs/>
          <w:sz w:val="22"/>
          <w:szCs w:val="22"/>
        </w:rPr>
        <w:t xml:space="preserve">ro účely tohoto Programu se akcemi MICE rozumí: </w:t>
      </w:r>
      <w:proofErr w:type="spellStart"/>
      <w:r w:rsidR="00F152CA" w:rsidRPr="00F152CA">
        <w:rPr>
          <w:bCs/>
          <w:sz w:val="22"/>
          <w:szCs w:val="22"/>
        </w:rPr>
        <w:t>meetings</w:t>
      </w:r>
      <w:proofErr w:type="spellEnd"/>
      <w:r w:rsidR="00F152CA" w:rsidRPr="00F152CA">
        <w:rPr>
          <w:bCs/>
          <w:sz w:val="22"/>
          <w:szCs w:val="22"/>
        </w:rPr>
        <w:t xml:space="preserve"> (setkání, schůze, semináře, kolokvia apod.), </w:t>
      </w:r>
      <w:proofErr w:type="spellStart"/>
      <w:r w:rsidR="00F152CA" w:rsidRPr="00F152CA">
        <w:rPr>
          <w:bCs/>
          <w:sz w:val="22"/>
          <w:szCs w:val="22"/>
        </w:rPr>
        <w:t>incentives</w:t>
      </w:r>
      <w:proofErr w:type="spellEnd"/>
      <w:r w:rsidR="00F152CA" w:rsidRPr="00F152CA">
        <w:rPr>
          <w:bCs/>
          <w:sz w:val="22"/>
          <w:szCs w:val="22"/>
        </w:rPr>
        <w:t xml:space="preserve"> (incentivní, motivační akce), </w:t>
      </w:r>
      <w:proofErr w:type="spellStart"/>
      <w:r w:rsidR="00F152CA" w:rsidRPr="00F152CA">
        <w:rPr>
          <w:bCs/>
          <w:sz w:val="22"/>
          <w:szCs w:val="22"/>
        </w:rPr>
        <w:t>conventions</w:t>
      </w:r>
      <w:proofErr w:type="spellEnd"/>
      <w:r w:rsidR="00F152CA" w:rsidRPr="00F152CA">
        <w:rPr>
          <w:bCs/>
          <w:sz w:val="22"/>
          <w:szCs w:val="22"/>
        </w:rPr>
        <w:t xml:space="preserve"> (kongresy, konference, sjezdy, sympozia, summity, přednášky, kulaté stoly, happeningy apod.), </w:t>
      </w:r>
      <w:proofErr w:type="spellStart"/>
      <w:r w:rsidR="00F152CA" w:rsidRPr="00F152CA">
        <w:rPr>
          <w:bCs/>
          <w:sz w:val="22"/>
          <w:szCs w:val="22"/>
        </w:rPr>
        <w:t>exhibitions</w:t>
      </w:r>
      <w:proofErr w:type="spellEnd"/>
      <w:r w:rsidR="00F152CA" w:rsidRPr="00F152CA">
        <w:rPr>
          <w:bCs/>
          <w:sz w:val="22"/>
          <w:szCs w:val="22"/>
        </w:rPr>
        <w:t xml:space="preserve"> / </w:t>
      </w:r>
      <w:proofErr w:type="spellStart"/>
      <w:r w:rsidR="00F152CA" w:rsidRPr="00F152CA">
        <w:rPr>
          <w:bCs/>
          <w:sz w:val="22"/>
          <w:szCs w:val="22"/>
        </w:rPr>
        <w:t>events</w:t>
      </w:r>
      <w:proofErr w:type="spellEnd"/>
      <w:r w:rsidR="00F152CA" w:rsidRPr="00F152CA">
        <w:rPr>
          <w:bCs/>
          <w:sz w:val="22"/>
          <w:szCs w:val="22"/>
        </w:rPr>
        <w:t xml:space="preserve"> (výstavy, veletrhy, workshopy).</w:t>
      </w:r>
      <w:r w:rsidR="00F152CA">
        <w:rPr>
          <w:bCs/>
          <w:sz w:val="22"/>
          <w:szCs w:val="22"/>
        </w:rPr>
        <w:t xml:space="preserve"> </w:t>
      </w:r>
      <w:r w:rsidR="00624C83" w:rsidRPr="00624C83">
        <w:rPr>
          <w:bCs/>
          <w:i/>
          <w:iCs/>
          <w:sz w:val="22"/>
          <w:szCs w:val="22"/>
        </w:rPr>
        <w:t>K</w:t>
      </w:r>
      <w:r w:rsidR="00F152CA" w:rsidRPr="00624C83">
        <w:rPr>
          <w:bCs/>
          <w:i/>
          <w:iCs/>
          <w:sz w:val="22"/>
          <w:szCs w:val="22"/>
        </w:rPr>
        <w:t>ategori</w:t>
      </w:r>
      <w:r w:rsidR="00624C83">
        <w:rPr>
          <w:bCs/>
          <w:i/>
          <w:iCs/>
          <w:sz w:val="22"/>
          <w:szCs w:val="22"/>
        </w:rPr>
        <w:t>e</w:t>
      </w:r>
      <w:r w:rsidR="00F152CA" w:rsidRPr="00624C83">
        <w:rPr>
          <w:bCs/>
          <w:i/>
          <w:iCs/>
          <w:sz w:val="22"/>
          <w:szCs w:val="22"/>
        </w:rPr>
        <w:t xml:space="preserve"> II.B</w:t>
      </w:r>
      <w:r w:rsidR="00624C83">
        <w:rPr>
          <w:bCs/>
          <w:sz w:val="22"/>
          <w:szCs w:val="22"/>
        </w:rPr>
        <w:t>.</w:t>
      </w:r>
      <w:r w:rsidR="00F152CA" w:rsidRPr="00F152CA">
        <w:rPr>
          <w:bCs/>
          <w:sz w:val="22"/>
          <w:szCs w:val="22"/>
        </w:rPr>
        <w:t xml:space="preserve"> je </w:t>
      </w:r>
      <w:r w:rsidR="00624C83">
        <w:rPr>
          <w:bCs/>
          <w:sz w:val="22"/>
          <w:szCs w:val="22"/>
        </w:rPr>
        <w:t xml:space="preserve">pak </w:t>
      </w:r>
      <w:r w:rsidR="00F152CA" w:rsidRPr="00F152CA">
        <w:rPr>
          <w:bCs/>
          <w:sz w:val="22"/>
          <w:szCs w:val="22"/>
        </w:rPr>
        <w:t>určena na podporu významných vícedenních pravidelně se opakujících akcí konferenčního charakteru, které</w:t>
      </w:r>
      <w:r w:rsidR="00624C83">
        <w:rPr>
          <w:bCs/>
          <w:sz w:val="22"/>
          <w:szCs w:val="22"/>
        </w:rPr>
        <w:t xml:space="preserve"> </w:t>
      </w:r>
      <w:r w:rsidR="00F152CA" w:rsidRPr="00F152CA">
        <w:rPr>
          <w:bCs/>
          <w:sz w:val="22"/>
          <w:szCs w:val="22"/>
        </w:rPr>
        <w:t>nesplňují podmínky pro poskytnutí Dotace v Opatření I.  (nejedná se o uzavřené asociační kongresy a konference) a které jsou určeny pro registrované odborné účastníky i pro veřejnost s tím, že mají minimálně 200 účastníků, kteří se akce zúčastní prezenčně. Žadatel musí uvést konkrétní východiska pro stanovení předpokládané návštěvnosti</w:t>
      </w:r>
      <w:r w:rsidR="00F152CA">
        <w:rPr>
          <w:bCs/>
          <w:sz w:val="22"/>
          <w:szCs w:val="22"/>
        </w:rPr>
        <w:t>. U této kategorie došlo k omezení okruhu oprávněných žadatelů oproti ka</w:t>
      </w:r>
      <w:r w:rsidR="00F1464A">
        <w:rPr>
          <w:bCs/>
          <w:sz w:val="22"/>
          <w:szCs w:val="22"/>
        </w:rPr>
        <w:t>t</w:t>
      </w:r>
      <w:r w:rsidR="00F152CA">
        <w:rPr>
          <w:bCs/>
          <w:sz w:val="22"/>
          <w:szCs w:val="22"/>
        </w:rPr>
        <w:t>egorii II. A.</w:t>
      </w:r>
      <w:r w:rsidR="00624C83">
        <w:rPr>
          <w:bCs/>
          <w:sz w:val="22"/>
          <w:szCs w:val="22"/>
        </w:rPr>
        <w:t>, kde nyní</w:t>
      </w:r>
      <w:r w:rsidR="00F152CA">
        <w:rPr>
          <w:bCs/>
          <w:sz w:val="22"/>
          <w:szCs w:val="22"/>
        </w:rPr>
        <w:t xml:space="preserve"> </w:t>
      </w:r>
      <w:r w:rsidR="00624C83">
        <w:rPr>
          <w:bCs/>
          <w:sz w:val="22"/>
          <w:szCs w:val="22"/>
        </w:rPr>
        <w:t>nemohou žádat obchodní korporace. K této úpravě došlo s</w:t>
      </w:r>
      <w:r w:rsidR="00F152CA">
        <w:rPr>
          <w:bCs/>
          <w:sz w:val="22"/>
          <w:szCs w:val="22"/>
        </w:rPr>
        <w:t xml:space="preserve"> ohledem na </w:t>
      </w:r>
      <w:r w:rsidR="00F152CA" w:rsidRPr="00624C83">
        <w:rPr>
          <w:bCs/>
          <w:i/>
          <w:iCs/>
          <w:sz w:val="22"/>
          <w:szCs w:val="22"/>
        </w:rPr>
        <w:t>Zásady hl. m. Prahy pro poskytování dotací HMP</w:t>
      </w:r>
      <w:r w:rsidR="00F152CA">
        <w:rPr>
          <w:bCs/>
          <w:sz w:val="22"/>
          <w:szCs w:val="22"/>
        </w:rPr>
        <w:t xml:space="preserve">, </w:t>
      </w:r>
      <w:r w:rsidR="00624C83">
        <w:rPr>
          <w:bCs/>
          <w:sz w:val="22"/>
          <w:szCs w:val="22"/>
        </w:rPr>
        <w:t xml:space="preserve">kde HMP </w:t>
      </w:r>
      <w:r w:rsidR="00CD7B6E">
        <w:rPr>
          <w:bCs/>
          <w:sz w:val="22"/>
          <w:szCs w:val="22"/>
        </w:rPr>
        <w:t>poskytuje dotace přednostně okruhu žadatelů uvedenému v těchto Zásadách a kde obchodní korporace uvedeny nejsou. Také k této úpravě bylo přistoupeno na základě zkušeností a připomínek ze zasedání Komise při hodnocení žádostí o dotace v r. 2022.</w:t>
      </w:r>
    </w:p>
    <w:p w14:paraId="0CC5DE25" w14:textId="1D4FB4A3" w:rsidR="00CD7B6E" w:rsidRDefault="00F1464A" w:rsidP="00CD7B6E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Způsob</w:t>
      </w:r>
      <w:r w:rsidR="00CD7B6E">
        <w:rPr>
          <w:bCs/>
          <w:sz w:val="22"/>
          <w:szCs w:val="22"/>
        </w:rPr>
        <w:t>ilé</w:t>
      </w:r>
      <w:r>
        <w:rPr>
          <w:bCs/>
          <w:sz w:val="22"/>
          <w:szCs w:val="22"/>
        </w:rPr>
        <w:t xml:space="preserve"> výdaj</w:t>
      </w:r>
      <w:r w:rsidR="00CD7B6E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pro </w:t>
      </w:r>
      <w:r w:rsidR="00CD7B6E">
        <w:rPr>
          <w:bCs/>
          <w:sz w:val="22"/>
          <w:szCs w:val="22"/>
        </w:rPr>
        <w:t>Opatření II. byly definovány zvlášť pro kategorii II.A (ponechány stejné jako pro rok 2022) a zvlášť pro kategorii II.B. Pro tuto kategorii se jedná o</w:t>
      </w:r>
      <w:r>
        <w:rPr>
          <w:bCs/>
          <w:sz w:val="22"/>
          <w:szCs w:val="22"/>
        </w:rPr>
        <w:t xml:space="preserve"> kombinac</w:t>
      </w:r>
      <w:r w:rsidR="00CD7B6E">
        <w:rPr>
          <w:bCs/>
          <w:sz w:val="22"/>
          <w:szCs w:val="22"/>
        </w:rPr>
        <w:t xml:space="preserve">i způsobilých </w:t>
      </w:r>
      <w:r>
        <w:rPr>
          <w:bCs/>
          <w:sz w:val="22"/>
          <w:szCs w:val="22"/>
        </w:rPr>
        <w:t xml:space="preserve">výdajů pro Opatření I. </w:t>
      </w:r>
      <w:r w:rsidR="00CD7B6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pro Opatření II., tedy </w:t>
      </w:r>
      <w:r w:rsidR="00CD7B6E" w:rsidRPr="00CD7B6E">
        <w:rPr>
          <w:bCs/>
          <w:sz w:val="22"/>
          <w:szCs w:val="22"/>
        </w:rPr>
        <w:t>nájem společenských a kongresových/konferenčních prostor, kde bude event fyzicky probíhat, včetně příslušných služeb (spotřeba energií, nájem audiovizuální techniky, úklid, ostraha), které jsou součástí tohoto nájmu. Z výše poskytnuté a využitelné Dotace, resp. z výše odpovídající tomuto způsobilému nákladu, musí být použito minimálně 60 % na čistý nájem prostor (bez jakýchkoliv doplňkových služeb) a maximálně 40 % může být použito na úhradu služeb přímo spojených s pronájmem prostor</w:t>
      </w:r>
      <w:r w:rsidR="00CD7B6E">
        <w:rPr>
          <w:bCs/>
          <w:sz w:val="22"/>
          <w:szCs w:val="22"/>
        </w:rPr>
        <w:t>, dále pak na</w:t>
      </w:r>
      <w:r>
        <w:rPr>
          <w:bCs/>
          <w:sz w:val="22"/>
          <w:szCs w:val="22"/>
        </w:rPr>
        <w:t xml:space="preserve"> </w:t>
      </w:r>
      <w:r w:rsidRPr="00261BBB">
        <w:rPr>
          <w:bCs/>
          <w:sz w:val="22"/>
          <w:szCs w:val="22"/>
        </w:rPr>
        <w:t>propagac</w:t>
      </w:r>
      <w:r w:rsidR="00CD7B6E">
        <w:rPr>
          <w:bCs/>
          <w:sz w:val="22"/>
          <w:szCs w:val="22"/>
        </w:rPr>
        <w:t>i</w:t>
      </w:r>
      <w:r w:rsidRPr="00261BBB">
        <w:rPr>
          <w:bCs/>
          <w:sz w:val="22"/>
          <w:szCs w:val="22"/>
        </w:rPr>
        <w:t xml:space="preserve"> akce v zahraničí nebo v tuzemsku (mimo území hl. m. Prahy) nad rámec povinné propagace města jako poskytovatele dotace dle Programu</w:t>
      </w:r>
      <w:r>
        <w:rPr>
          <w:bCs/>
          <w:sz w:val="22"/>
          <w:szCs w:val="22"/>
        </w:rPr>
        <w:t xml:space="preserve">. </w:t>
      </w:r>
      <w:r w:rsidR="00CD7B6E">
        <w:rPr>
          <w:bCs/>
          <w:sz w:val="22"/>
          <w:szCs w:val="22"/>
        </w:rPr>
        <w:t xml:space="preserve">Maximální </w:t>
      </w:r>
      <w:r w:rsidR="004413DB">
        <w:rPr>
          <w:bCs/>
          <w:sz w:val="22"/>
          <w:szCs w:val="22"/>
        </w:rPr>
        <w:t>finanční podpor</w:t>
      </w:r>
      <w:r w:rsidR="0034229D">
        <w:rPr>
          <w:bCs/>
          <w:sz w:val="22"/>
          <w:szCs w:val="22"/>
        </w:rPr>
        <w:t>a</w:t>
      </w:r>
      <w:r w:rsidR="00CD7B6E" w:rsidRPr="006170A1">
        <w:rPr>
          <w:bCs/>
          <w:sz w:val="22"/>
          <w:szCs w:val="22"/>
        </w:rPr>
        <w:t xml:space="preserve"> </w:t>
      </w:r>
      <w:r w:rsidR="00CD7B6E">
        <w:rPr>
          <w:bCs/>
          <w:sz w:val="22"/>
          <w:szCs w:val="22"/>
        </w:rPr>
        <w:t>by</w:t>
      </w:r>
      <w:r w:rsidR="004413DB">
        <w:rPr>
          <w:bCs/>
          <w:sz w:val="22"/>
          <w:szCs w:val="22"/>
        </w:rPr>
        <w:t>la</w:t>
      </w:r>
      <w:r w:rsidR="00CD7B6E" w:rsidRPr="006170A1">
        <w:rPr>
          <w:bCs/>
          <w:sz w:val="22"/>
          <w:szCs w:val="22"/>
        </w:rPr>
        <w:t xml:space="preserve"> </w:t>
      </w:r>
      <w:r w:rsidR="00CD7B6E">
        <w:rPr>
          <w:bCs/>
          <w:sz w:val="22"/>
          <w:szCs w:val="22"/>
        </w:rPr>
        <w:t xml:space="preserve">u kategorie II.B </w:t>
      </w:r>
      <w:r w:rsidR="004413DB">
        <w:rPr>
          <w:bCs/>
          <w:sz w:val="22"/>
          <w:szCs w:val="22"/>
        </w:rPr>
        <w:t xml:space="preserve">omezena </w:t>
      </w:r>
      <w:r w:rsidR="00CD7B6E" w:rsidRPr="006170A1">
        <w:rPr>
          <w:bCs/>
          <w:sz w:val="22"/>
          <w:szCs w:val="22"/>
        </w:rPr>
        <w:t>vý</w:t>
      </w:r>
      <w:r w:rsidR="004413DB">
        <w:rPr>
          <w:bCs/>
          <w:sz w:val="22"/>
          <w:szCs w:val="22"/>
        </w:rPr>
        <w:t>ší</w:t>
      </w:r>
      <w:r w:rsidR="00CD7B6E" w:rsidRPr="006170A1">
        <w:rPr>
          <w:bCs/>
          <w:sz w:val="22"/>
          <w:szCs w:val="22"/>
        </w:rPr>
        <w:t xml:space="preserve"> 500 000 Kč na jeden Projekt.</w:t>
      </w:r>
    </w:p>
    <w:p w14:paraId="3C96BEDF" w14:textId="77777777" w:rsidR="00900E52" w:rsidRPr="00900E52" w:rsidRDefault="001D4187" w:rsidP="00900E52">
      <w:pPr>
        <w:spacing w:before="24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900E52">
        <w:rPr>
          <w:bCs/>
          <w:color w:val="000000" w:themeColor="text1"/>
          <w:sz w:val="22"/>
          <w:szCs w:val="22"/>
        </w:rPr>
        <w:lastRenderedPageBreak/>
        <w:t xml:space="preserve">Dále došlo na základě požadavků členů Komise z minulého jednání i k úpravě tabulky pro </w:t>
      </w:r>
      <w:r w:rsidR="00900E52" w:rsidRPr="00900E52">
        <w:rPr>
          <w:bCs/>
          <w:color w:val="000000" w:themeColor="text1"/>
          <w:sz w:val="22"/>
          <w:szCs w:val="22"/>
        </w:rPr>
        <w:t>hodnocení žádostí v Opatření II. – Podpora akcí s celostátním nebo mezinárodním významem. Bylo upraveno bodové hodnocení a obsah hodnotících kritérií, především kritéria účelnosti a potřebnosti, kde bylo přidáno samostatně hodnocené „</w:t>
      </w:r>
      <w:proofErr w:type="spellStart"/>
      <w:r w:rsidR="00900E52" w:rsidRPr="00900E52">
        <w:rPr>
          <w:bCs/>
          <w:color w:val="000000" w:themeColor="text1"/>
          <w:sz w:val="22"/>
          <w:szCs w:val="22"/>
        </w:rPr>
        <w:t>podkritérium</w:t>
      </w:r>
      <w:proofErr w:type="spellEnd"/>
      <w:r w:rsidR="00900E52" w:rsidRPr="00900E52">
        <w:rPr>
          <w:bCs/>
          <w:color w:val="000000" w:themeColor="text1"/>
          <w:sz w:val="22"/>
          <w:szCs w:val="22"/>
        </w:rPr>
        <w:t xml:space="preserve">“ přesahu akce/projektu do budoucna – motivace k opakovaným příjezdům a zvýšení prestiže HMP. U kritéria účelnosti došlo k úpravě rozsahu bodů daných pro každé </w:t>
      </w:r>
      <w:proofErr w:type="spellStart"/>
      <w:r w:rsidR="00900E52" w:rsidRPr="00900E52">
        <w:rPr>
          <w:bCs/>
          <w:color w:val="000000" w:themeColor="text1"/>
          <w:sz w:val="22"/>
          <w:szCs w:val="22"/>
        </w:rPr>
        <w:t>podkritérium</w:t>
      </w:r>
      <w:proofErr w:type="spellEnd"/>
      <w:r w:rsidR="00900E52" w:rsidRPr="00900E52">
        <w:rPr>
          <w:bCs/>
          <w:color w:val="000000" w:themeColor="text1"/>
          <w:sz w:val="22"/>
          <w:szCs w:val="22"/>
        </w:rPr>
        <w:t>, celkový počet bodů zůstal zachován, ale bylo posíleno bodové hodnocení kvality projektu, zda je Projekt realizován ve prospěch HMP a podporuje CR. Mírně byl upraven i obsah kritéria efektivnosti a hospodárnosti. Upravená tabulka byla rovněž zaslána všem členům této Komise i Komise RHMP pro oblast cestovního ruchu.</w:t>
      </w:r>
    </w:p>
    <w:p w14:paraId="05C0913B" w14:textId="7E253FFC" w:rsidR="00E630E4" w:rsidRPr="00900E52" w:rsidRDefault="00E630E4" w:rsidP="00E630E4">
      <w:pPr>
        <w:spacing w:before="24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900E52">
        <w:rPr>
          <w:bCs/>
          <w:color w:val="000000" w:themeColor="text1"/>
          <w:sz w:val="22"/>
          <w:szCs w:val="22"/>
        </w:rPr>
        <w:t xml:space="preserve">Na závěr Ing. Iveta Jechová konstatovala, že max. výše podpory v jednotlivých kategoriích je věcí další diskuse zde v Komisi s tím, že se vychází z předpokládané výše rozpočtu 20 000 000 Kč. Rozdělení peněžních prostředků mezi jednotlivá Opatření je předpokládáno v poměru: - Opatření I., kategorie I.A. a I.B celkem 13 000 000 Kč, Opatření II. - kategorie II.A a II.B celkem 7 000 000 Kč. Výše pro kategorii I.A na registrovaného účastníka je v návrhu zatím ponechána na 400 Kč a pro kategorii I.B na 250 Kč. </w:t>
      </w:r>
    </w:p>
    <w:p w14:paraId="0AA16656" w14:textId="5A1F341B" w:rsidR="00E4006E" w:rsidRPr="00E630E4" w:rsidRDefault="00E630E4" w:rsidP="00E4006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630E4">
        <w:rPr>
          <w:rFonts w:eastAsia="Calibri"/>
          <w:sz w:val="22"/>
          <w:szCs w:val="22"/>
          <w:lang w:eastAsia="en-US"/>
        </w:rPr>
        <w:t>Po představení návrhu Programu a upravených hodnotících kritérií</w:t>
      </w:r>
      <w:r w:rsidR="002133F1">
        <w:rPr>
          <w:rFonts w:eastAsia="Calibri"/>
          <w:sz w:val="22"/>
          <w:szCs w:val="22"/>
          <w:lang w:eastAsia="en-US"/>
        </w:rPr>
        <w:t xml:space="preserve"> dal</w:t>
      </w:r>
      <w:r w:rsidRPr="00E630E4">
        <w:rPr>
          <w:rFonts w:eastAsia="Calibri"/>
          <w:sz w:val="22"/>
          <w:szCs w:val="22"/>
          <w:lang w:eastAsia="en-US"/>
        </w:rPr>
        <w:t xml:space="preserve"> p</w:t>
      </w:r>
      <w:r w:rsidR="00E4006E" w:rsidRPr="00E630E4">
        <w:rPr>
          <w:rFonts w:eastAsia="Calibri"/>
          <w:sz w:val="22"/>
          <w:szCs w:val="22"/>
          <w:lang w:eastAsia="en-US"/>
        </w:rPr>
        <w:t xml:space="preserve">ředseda slovo </w:t>
      </w:r>
      <w:r w:rsidR="002133F1">
        <w:rPr>
          <w:rFonts w:eastAsia="Calibri"/>
          <w:sz w:val="22"/>
          <w:szCs w:val="22"/>
          <w:lang w:eastAsia="en-US"/>
        </w:rPr>
        <w:t>řediteli PCB,</w:t>
      </w:r>
      <w:r w:rsidR="00E4006E" w:rsidRPr="00E630E4">
        <w:rPr>
          <w:rFonts w:eastAsia="Calibri"/>
          <w:sz w:val="22"/>
          <w:szCs w:val="22"/>
          <w:lang w:eastAsia="en-US"/>
        </w:rPr>
        <w:t xml:space="preserve"> aby shrnul připomínky, které k Programu měl</w:t>
      </w:r>
      <w:r w:rsidRPr="00E630E4">
        <w:rPr>
          <w:rFonts w:eastAsia="Calibri"/>
          <w:sz w:val="22"/>
          <w:szCs w:val="22"/>
          <w:lang w:eastAsia="en-US"/>
        </w:rPr>
        <w:t xml:space="preserve"> a které ještě nebyly vysvětleny.</w:t>
      </w:r>
    </w:p>
    <w:p w14:paraId="69E3AB7F" w14:textId="29AE452D" w:rsidR="00C539AD" w:rsidRPr="00C539AD" w:rsidRDefault="00145EE0" w:rsidP="00C539AD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Roman Muška </w:t>
      </w:r>
      <w:r w:rsidR="007A2E91">
        <w:rPr>
          <w:bCs/>
          <w:sz w:val="22"/>
          <w:szCs w:val="22"/>
        </w:rPr>
        <w:t>sdělil</w:t>
      </w:r>
      <w:r>
        <w:rPr>
          <w:bCs/>
          <w:sz w:val="22"/>
          <w:szCs w:val="22"/>
        </w:rPr>
        <w:t xml:space="preserve">, že by (i s ohledem na inflaci </w:t>
      </w:r>
      <w:r w:rsidR="007704B9">
        <w:rPr>
          <w:bCs/>
          <w:sz w:val="22"/>
          <w:szCs w:val="22"/>
        </w:rPr>
        <w:t xml:space="preserve">a </w:t>
      </w:r>
      <w:r w:rsidR="007704B9" w:rsidRPr="007704B9">
        <w:rPr>
          <w:bCs/>
          <w:sz w:val="22"/>
          <w:szCs w:val="22"/>
        </w:rPr>
        <w:t>ekonomickou situaci</w:t>
      </w:r>
      <w:r>
        <w:rPr>
          <w:bCs/>
          <w:sz w:val="22"/>
          <w:szCs w:val="22"/>
        </w:rPr>
        <w:t xml:space="preserve">) navrhoval </w:t>
      </w:r>
      <w:r w:rsidR="00C539AD">
        <w:rPr>
          <w:bCs/>
          <w:sz w:val="22"/>
          <w:szCs w:val="22"/>
        </w:rPr>
        <w:t>s</w:t>
      </w:r>
      <w:r w:rsidR="00C539AD" w:rsidRPr="00C539AD">
        <w:rPr>
          <w:bCs/>
          <w:sz w:val="22"/>
          <w:szCs w:val="22"/>
        </w:rPr>
        <w:t xml:space="preserve">loučení </w:t>
      </w:r>
      <w:r w:rsidR="00C539AD">
        <w:rPr>
          <w:bCs/>
          <w:sz w:val="22"/>
          <w:szCs w:val="22"/>
        </w:rPr>
        <w:t>k</w:t>
      </w:r>
      <w:r w:rsidR="00C539AD" w:rsidRPr="00C539AD">
        <w:rPr>
          <w:bCs/>
          <w:sz w:val="22"/>
          <w:szCs w:val="22"/>
        </w:rPr>
        <w:t xml:space="preserve">ategorie I.A. a I.B. </w:t>
      </w:r>
      <w:r w:rsidR="00C539AD">
        <w:rPr>
          <w:bCs/>
          <w:sz w:val="22"/>
          <w:szCs w:val="22"/>
        </w:rPr>
        <w:t xml:space="preserve">a </w:t>
      </w:r>
      <w:r w:rsidR="00C539AD" w:rsidRPr="00C539AD">
        <w:rPr>
          <w:bCs/>
          <w:sz w:val="22"/>
          <w:szCs w:val="22"/>
        </w:rPr>
        <w:t xml:space="preserve">navýšení podpory na 500 Kč </w:t>
      </w:r>
      <w:r w:rsidR="00FD6A5B">
        <w:rPr>
          <w:bCs/>
          <w:sz w:val="22"/>
          <w:szCs w:val="22"/>
        </w:rPr>
        <w:t xml:space="preserve">na </w:t>
      </w:r>
      <w:r w:rsidR="00C539AD" w:rsidRPr="00C539AD">
        <w:rPr>
          <w:bCs/>
          <w:sz w:val="22"/>
          <w:szCs w:val="22"/>
        </w:rPr>
        <w:t>registrovan</w:t>
      </w:r>
      <w:r w:rsidR="00FD6A5B">
        <w:rPr>
          <w:bCs/>
          <w:sz w:val="22"/>
          <w:szCs w:val="22"/>
        </w:rPr>
        <w:t>ého</w:t>
      </w:r>
      <w:r w:rsidR="00C539AD" w:rsidRPr="00C539AD">
        <w:rPr>
          <w:bCs/>
          <w:sz w:val="22"/>
          <w:szCs w:val="22"/>
        </w:rPr>
        <w:t xml:space="preserve"> účastník</w:t>
      </w:r>
      <w:r w:rsidR="00FD6A5B">
        <w:rPr>
          <w:bCs/>
          <w:sz w:val="22"/>
          <w:szCs w:val="22"/>
        </w:rPr>
        <w:t>a.</w:t>
      </w:r>
    </w:p>
    <w:p w14:paraId="70EBC2AF" w14:textId="7B690E06" w:rsidR="00145EE0" w:rsidRDefault="00145EE0" w:rsidP="00145EE0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Ing. Iveta Jechová </w:t>
      </w:r>
      <w:r w:rsidR="007A2E91">
        <w:rPr>
          <w:bCs/>
          <w:sz w:val="22"/>
          <w:szCs w:val="22"/>
        </w:rPr>
        <w:t>odpověděla</w:t>
      </w:r>
      <w:r>
        <w:rPr>
          <w:bCs/>
          <w:sz w:val="22"/>
          <w:szCs w:val="22"/>
        </w:rPr>
        <w:t xml:space="preserve">, že zavedení pouze 1 kategorie již od 200 účastníků by v praxi znamenalo nadhodnocování </w:t>
      </w:r>
      <w:r w:rsidRPr="00145EE0">
        <w:rPr>
          <w:bCs/>
          <w:sz w:val="22"/>
          <w:szCs w:val="22"/>
        </w:rPr>
        <w:t>počtu předpokládaných účastníků organizátory, a tedy blokování finančních prostředků</w:t>
      </w:r>
      <w:r w:rsidR="006E62EF">
        <w:rPr>
          <w:bCs/>
          <w:sz w:val="22"/>
          <w:szCs w:val="22"/>
        </w:rPr>
        <w:t xml:space="preserve"> z oblasti cestovního ruchu, které by nebyly na další projekty, případně na individuální účelové dotace.</w:t>
      </w:r>
      <w:r w:rsidR="007A2E91">
        <w:rPr>
          <w:bCs/>
          <w:sz w:val="22"/>
          <w:szCs w:val="22"/>
        </w:rPr>
        <w:t xml:space="preserve"> </w:t>
      </w:r>
      <w:r w:rsidR="00FD6A5B">
        <w:rPr>
          <w:bCs/>
          <w:sz w:val="22"/>
          <w:szCs w:val="22"/>
        </w:rPr>
        <w:t xml:space="preserve">PCB sice zaslalo seznam plánovaných akcí pro rok 2023, kde se počítá s částkou </w:t>
      </w:r>
      <w:r w:rsidR="00D366B6">
        <w:rPr>
          <w:bCs/>
          <w:sz w:val="22"/>
          <w:szCs w:val="22"/>
        </w:rPr>
        <w:t>(při jednotné kategorii a částce 500 Kč/</w:t>
      </w:r>
      <w:proofErr w:type="spellStart"/>
      <w:r w:rsidR="00D366B6">
        <w:rPr>
          <w:bCs/>
          <w:sz w:val="22"/>
          <w:szCs w:val="22"/>
        </w:rPr>
        <w:t>reg</w:t>
      </w:r>
      <w:proofErr w:type="spellEnd"/>
      <w:r w:rsidR="00D366B6">
        <w:rPr>
          <w:bCs/>
          <w:sz w:val="22"/>
          <w:szCs w:val="22"/>
        </w:rPr>
        <w:t xml:space="preserve">. účastník) něco přes 12 000 000 Kč, ale výčet není </w:t>
      </w:r>
      <w:r w:rsidR="00BD6282">
        <w:rPr>
          <w:bCs/>
          <w:sz w:val="22"/>
          <w:szCs w:val="22"/>
        </w:rPr>
        <w:t>konečný</w:t>
      </w:r>
      <w:r w:rsidR="00D366B6">
        <w:rPr>
          <w:bCs/>
          <w:sz w:val="22"/>
          <w:szCs w:val="22"/>
        </w:rPr>
        <w:t xml:space="preserve">, </w:t>
      </w:r>
      <w:r w:rsidR="00FD6A5B">
        <w:rPr>
          <w:bCs/>
          <w:sz w:val="22"/>
          <w:szCs w:val="22"/>
        </w:rPr>
        <w:t>v seznamu nemusejí být obsaženy všechny asociační kongresy a konference, některé konference pořádají vysoké školy apod.</w:t>
      </w:r>
      <w:r w:rsidR="00D366B6">
        <w:rPr>
          <w:bCs/>
          <w:sz w:val="22"/>
          <w:szCs w:val="22"/>
        </w:rPr>
        <w:t xml:space="preserve"> a při jedné kategorii a navýšení podpory na 500 Kč by pak nemusely být finanční prostředky pro všechny a dotace by se musely krátit. </w:t>
      </w:r>
      <w:r w:rsidR="00FD6A5B">
        <w:rPr>
          <w:bCs/>
          <w:sz w:val="22"/>
          <w:szCs w:val="22"/>
        </w:rPr>
        <w:t xml:space="preserve"> </w:t>
      </w:r>
      <w:r w:rsidR="00FD6A5B" w:rsidRPr="00FD6A5B">
        <w:rPr>
          <w:bCs/>
          <w:sz w:val="22"/>
          <w:szCs w:val="22"/>
        </w:rPr>
        <w:t xml:space="preserve"> </w:t>
      </w:r>
      <w:r w:rsidR="00D366B6" w:rsidRPr="00D366B6">
        <w:rPr>
          <w:bCs/>
          <w:sz w:val="22"/>
          <w:szCs w:val="22"/>
        </w:rPr>
        <w:t xml:space="preserve">Navíc HMP </w:t>
      </w:r>
      <w:r w:rsidR="00D366B6">
        <w:rPr>
          <w:bCs/>
          <w:sz w:val="22"/>
          <w:szCs w:val="22"/>
        </w:rPr>
        <w:t xml:space="preserve">v oblasti cestovního ruchu dlouhodobě deklaruje </w:t>
      </w:r>
      <w:r w:rsidR="00D366B6" w:rsidRPr="00D366B6">
        <w:rPr>
          <w:bCs/>
          <w:sz w:val="22"/>
          <w:szCs w:val="22"/>
        </w:rPr>
        <w:t xml:space="preserve">podporu velkým kongresům nebo konferencím, proto by měly </w:t>
      </w:r>
      <w:r w:rsidR="00D366B6">
        <w:rPr>
          <w:bCs/>
          <w:sz w:val="22"/>
          <w:szCs w:val="22"/>
        </w:rPr>
        <w:t>být kategorie rozlišeny. Rozdělení na 2 kategorie i v</w:t>
      </w:r>
      <w:r w:rsidR="00D366B6" w:rsidRPr="00D366B6">
        <w:rPr>
          <w:bCs/>
          <w:sz w:val="22"/>
          <w:szCs w:val="22"/>
        </w:rPr>
        <w:t>íce odráží reálný počet deleg</w:t>
      </w:r>
      <w:r w:rsidR="00D366B6">
        <w:rPr>
          <w:bCs/>
          <w:sz w:val="22"/>
          <w:szCs w:val="22"/>
        </w:rPr>
        <w:t>átů.</w:t>
      </w:r>
    </w:p>
    <w:p w14:paraId="7267DC87" w14:textId="084BF292" w:rsidR="00FA6D75" w:rsidRDefault="00145EE0" w:rsidP="00D366B6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Předseda souhlasil, že zvýšení částek v kontextu inflace by bylo vhodné, ale že se počítá v rozpočtu s částkou 20 000 000 Kč</w:t>
      </w:r>
      <w:r w:rsidR="00D366B6">
        <w:rPr>
          <w:bCs/>
          <w:sz w:val="22"/>
          <w:szCs w:val="22"/>
        </w:rPr>
        <w:t>, tedy zavedení jednotné výše 50</w:t>
      </w:r>
      <w:r w:rsidR="00BD6282">
        <w:rPr>
          <w:bCs/>
          <w:sz w:val="22"/>
          <w:szCs w:val="22"/>
        </w:rPr>
        <w:t>0</w:t>
      </w:r>
      <w:r w:rsidR="00D366B6">
        <w:rPr>
          <w:bCs/>
          <w:sz w:val="22"/>
          <w:szCs w:val="22"/>
        </w:rPr>
        <w:t xml:space="preserve"> Kč na </w:t>
      </w:r>
      <w:proofErr w:type="spellStart"/>
      <w:r w:rsidR="00D366B6">
        <w:rPr>
          <w:bCs/>
          <w:sz w:val="22"/>
          <w:szCs w:val="22"/>
        </w:rPr>
        <w:t>reg</w:t>
      </w:r>
      <w:proofErr w:type="spellEnd"/>
      <w:r w:rsidR="00D366B6">
        <w:rPr>
          <w:bCs/>
          <w:sz w:val="22"/>
          <w:szCs w:val="22"/>
        </w:rPr>
        <w:t>. účastníka by mohlo znamenat nedostatek finančních prostředků pro další akce v Opatření II., resp. pro individuální dotace.</w:t>
      </w:r>
      <w:r w:rsidR="00D366B6" w:rsidRPr="00D366B6">
        <w:rPr>
          <w:bCs/>
          <w:sz w:val="22"/>
          <w:szCs w:val="22"/>
        </w:rPr>
        <w:t xml:space="preserve"> </w:t>
      </w:r>
    </w:p>
    <w:p w14:paraId="4A0137F4" w14:textId="77777777" w:rsidR="00FA6D75" w:rsidRDefault="00FA6D75" w:rsidP="00FA6D75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Otakar John vyslovil souhlas s návrhem Programu a dodal, že považuje za rozumné rozdělení na 2 kategorie, podporoval by ale zvýšení max. částek na registrovaného účastníka v Opatření I. Z vlastní zkušenosti vidí, jak se změnilo organizování akcí vlivem </w:t>
      </w:r>
      <w:proofErr w:type="spellStart"/>
      <w:r>
        <w:rPr>
          <w:rFonts w:eastAsia="Calibri"/>
          <w:sz w:val="22"/>
          <w:szCs w:val="22"/>
          <w:lang w:eastAsia="en-US"/>
        </w:rPr>
        <w:t>covidu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Při přípravě akce sice vzniká kalkulace, ale vzhledem k vývoji situace v souvislosti s onemocněním </w:t>
      </w:r>
      <w:proofErr w:type="spellStart"/>
      <w:r>
        <w:rPr>
          <w:rFonts w:eastAsia="Calibri"/>
          <w:sz w:val="22"/>
          <w:szCs w:val="22"/>
          <w:lang w:eastAsia="en-US"/>
        </w:rPr>
        <w:t>covid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se organizátoři často rozhodují, zda akci vůbec uskuteční.</w:t>
      </w:r>
    </w:p>
    <w:p w14:paraId="6354242E" w14:textId="64A57E37" w:rsidR="00FA6D75" w:rsidRDefault="00FA6D75" w:rsidP="00FA6D75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Předseda přednesl návrh navýšení každé kategorie v Opatření I. o 50 Kč, tj. pro kategorii I.A na 450 Kč a v kat. I.B na 300 Kč.</w:t>
      </w:r>
    </w:p>
    <w:p w14:paraId="7DBF582C" w14:textId="77777777" w:rsidR="00FA6D75" w:rsidRDefault="00FA6D75" w:rsidP="00FA6D75">
      <w:p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tímto návrhem všichni členové Komise souhlasili.</w:t>
      </w:r>
    </w:p>
    <w:p w14:paraId="6D967026" w14:textId="799D5EB2" w:rsidR="00FA6D75" w:rsidRDefault="00FA6D75" w:rsidP="00FA6D75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Roman Muška podotkl, že nadsazování předpokládaného počtu </w:t>
      </w:r>
      <w:proofErr w:type="spellStart"/>
      <w:r>
        <w:rPr>
          <w:rFonts w:eastAsia="Calibri"/>
          <w:sz w:val="22"/>
          <w:szCs w:val="22"/>
          <w:lang w:eastAsia="en-US"/>
        </w:rPr>
        <w:t>reg</w:t>
      </w:r>
      <w:proofErr w:type="spellEnd"/>
      <w:r>
        <w:rPr>
          <w:rFonts w:eastAsia="Calibri"/>
          <w:sz w:val="22"/>
          <w:szCs w:val="22"/>
          <w:lang w:eastAsia="en-US"/>
        </w:rPr>
        <w:t>. účastníků nelze zcela eliminovat, upravené podmínky (</w:t>
      </w:r>
      <w:r w:rsidR="002133F1">
        <w:rPr>
          <w:rFonts w:eastAsia="Calibri"/>
          <w:sz w:val="22"/>
          <w:szCs w:val="22"/>
          <w:lang w:eastAsia="en-US"/>
        </w:rPr>
        <w:t xml:space="preserve">pouze </w:t>
      </w:r>
      <w:r>
        <w:rPr>
          <w:rFonts w:eastAsia="Calibri"/>
          <w:sz w:val="22"/>
          <w:szCs w:val="22"/>
          <w:lang w:eastAsia="en-US"/>
        </w:rPr>
        <w:t xml:space="preserve">1 kategorie) by byly zjednodušením pro administrativu žádostí i pro samotné organizátory. Zároveň zazněl dotaz, zda zůstane limit max. výše podpory na kongres v kategorii I.B ve výši 124 750 Kč. </w:t>
      </w:r>
    </w:p>
    <w:p w14:paraId="3F5961C8" w14:textId="0349F28B" w:rsidR="00FA6D75" w:rsidRDefault="00FA6D75" w:rsidP="00FA6D75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Jechová upřesnila, že v případě navýšení částky na </w:t>
      </w:r>
      <w:proofErr w:type="spellStart"/>
      <w:r>
        <w:rPr>
          <w:rFonts w:eastAsia="Calibri"/>
          <w:sz w:val="22"/>
          <w:szCs w:val="22"/>
          <w:lang w:eastAsia="en-US"/>
        </w:rPr>
        <w:t>reg</w:t>
      </w:r>
      <w:proofErr w:type="spellEnd"/>
      <w:r>
        <w:rPr>
          <w:rFonts w:eastAsia="Calibri"/>
          <w:sz w:val="22"/>
          <w:szCs w:val="22"/>
          <w:lang w:eastAsia="en-US"/>
        </w:rPr>
        <w:t>. účastníka dojde samozřejmě i k navýšení této položky</w:t>
      </w:r>
      <w:r w:rsidR="002133F1">
        <w:rPr>
          <w:rFonts w:eastAsia="Calibri"/>
          <w:sz w:val="22"/>
          <w:szCs w:val="22"/>
          <w:lang w:eastAsia="en-US"/>
        </w:rPr>
        <w:t xml:space="preserve">, tj. </w:t>
      </w:r>
      <w:r>
        <w:rPr>
          <w:rFonts w:eastAsia="Calibri"/>
          <w:sz w:val="22"/>
          <w:szCs w:val="22"/>
          <w:lang w:eastAsia="en-US"/>
        </w:rPr>
        <w:t xml:space="preserve">na 499 x 300 Kč, </w:t>
      </w:r>
      <w:r w:rsidR="002133F1">
        <w:rPr>
          <w:rFonts w:eastAsia="Calibri"/>
          <w:sz w:val="22"/>
          <w:szCs w:val="22"/>
          <w:lang w:eastAsia="en-US"/>
        </w:rPr>
        <w:t>což je 149 700</w:t>
      </w:r>
      <w:r>
        <w:rPr>
          <w:rFonts w:eastAsia="Calibri"/>
          <w:sz w:val="22"/>
          <w:szCs w:val="22"/>
          <w:lang w:eastAsia="en-US"/>
        </w:rPr>
        <w:t xml:space="preserve"> Kč za kongres/konferenci v kat. I.B., pro kat. I.A. zůstane zachována max. výše podpory 2 000 000 Kč.  </w:t>
      </w:r>
    </w:p>
    <w:p w14:paraId="0CB4430F" w14:textId="2ADBEB9B" w:rsidR="00FA6D75" w:rsidRPr="00FA6D75" w:rsidRDefault="00B112A3" w:rsidP="00FA6D7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Další připomínka Romana Mušky byla k disproporci mezi podporou pro Opatření I., kategorii I</w:t>
      </w:r>
      <w:r w:rsidR="00186C9D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B a ka</w:t>
      </w:r>
      <w:r w:rsidR="00186C9D">
        <w:rPr>
          <w:rFonts w:eastAsia="Calibri"/>
          <w:sz w:val="22"/>
          <w:szCs w:val="22"/>
          <w:lang w:eastAsia="en-US"/>
        </w:rPr>
        <w:t>t</w:t>
      </w:r>
      <w:r>
        <w:rPr>
          <w:rFonts w:eastAsia="Calibri"/>
          <w:sz w:val="22"/>
          <w:szCs w:val="22"/>
          <w:lang w:eastAsia="en-US"/>
        </w:rPr>
        <w:t>egorií II.B</w:t>
      </w:r>
      <w:r w:rsidR="002133F1">
        <w:rPr>
          <w:rFonts w:eastAsia="Calibri"/>
          <w:sz w:val="22"/>
          <w:szCs w:val="22"/>
          <w:lang w:eastAsia="en-US"/>
        </w:rPr>
        <w:t>,</w:t>
      </w:r>
      <w:r w:rsidR="002133F1" w:rsidRPr="002133F1">
        <w:rPr>
          <w:rFonts w:eastAsia="Calibri"/>
          <w:sz w:val="22"/>
          <w:szCs w:val="22"/>
          <w:lang w:eastAsia="en-US"/>
        </w:rPr>
        <w:t xml:space="preserve"> </w:t>
      </w:r>
      <w:r w:rsidR="002133F1">
        <w:rPr>
          <w:rFonts w:eastAsia="Calibri"/>
          <w:sz w:val="22"/>
          <w:szCs w:val="22"/>
          <w:lang w:eastAsia="en-US"/>
        </w:rPr>
        <w:t>v Opatření II.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FA6D75">
        <w:rPr>
          <w:rFonts w:eastAsia="Calibri"/>
          <w:sz w:val="22"/>
          <w:szCs w:val="22"/>
          <w:lang w:eastAsia="en-US"/>
        </w:rPr>
        <w:t xml:space="preserve">Dle jeho názoru </w:t>
      </w:r>
      <w:r>
        <w:rPr>
          <w:rFonts w:eastAsia="Calibri"/>
          <w:sz w:val="22"/>
          <w:szCs w:val="22"/>
          <w:lang w:eastAsia="en-US"/>
        </w:rPr>
        <w:t>je kat. II.B. zvýhodněna a může dosáhnout na vyšší podporu než v</w:t>
      </w:r>
      <w:r w:rsidR="00FA6D75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I</w:t>
      </w:r>
      <w:r w:rsidR="00FA6D7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B.</w:t>
      </w:r>
      <w:r w:rsidR="00FA6D75" w:rsidRPr="00FA6D75">
        <w:rPr>
          <w:rFonts w:eastAsia="Calibri"/>
          <w:sz w:val="22"/>
          <w:szCs w:val="22"/>
          <w:lang w:eastAsia="en-US"/>
        </w:rPr>
        <w:t xml:space="preserve"> </w:t>
      </w:r>
    </w:p>
    <w:p w14:paraId="0E7DBDBE" w14:textId="3FF1C9C6" w:rsidR="00FA6D75" w:rsidRPr="00FA6D75" w:rsidRDefault="00FA6D75" w:rsidP="00FA6D75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A6D75">
        <w:rPr>
          <w:rFonts w:eastAsia="Calibri"/>
          <w:sz w:val="22"/>
          <w:szCs w:val="22"/>
          <w:lang w:eastAsia="en-US"/>
        </w:rPr>
        <w:t>Ing. Jechová vysvětlila, že u Opatření II. dochází k hodnocení žádostí dle předem daných kritérií. V tomto případě nejde pouze o samotný počet účastníků jako u kat. I.B, ale hodnotí se význam akce pro HMP. Akce se účastní i veřejnost, tudíž nelze vycházet z podpory na registrovaného účastníka. Vzhledem k účasti veřejnosti nelze účast přesně určit, ale ž</w:t>
      </w:r>
      <w:r w:rsidRPr="00FA6D75">
        <w:rPr>
          <w:bCs/>
          <w:sz w:val="22"/>
          <w:szCs w:val="22"/>
        </w:rPr>
        <w:t xml:space="preserve">adatel v žádosti musí uvést konkrétní východiska pro stanovení předpokládané návštěvnosti (např. potvrzená návštěvnost minulých ročníků, potvrzené registrace pro aktuální ročník apod.), </w:t>
      </w:r>
      <w:r w:rsidRPr="00FA6D75">
        <w:rPr>
          <w:rFonts w:eastAsia="Calibri"/>
          <w:sz w:val="22"/>
          <w:szCs w:val="22"/>
          <w:lang w:eastAsia="en-US"/>
        </w:rPr>
        <w:t xml:space="preserve">také se liší to, co lze z dotace </w:t>
      </w:r>
      <w:r>
        <w:rPr>
          <w:rFonts w:eastAsia="Calibri"/>
          <w:sz w:val="22"/>
          <w:szCs w:val="22"/>
          <w:lang w:eastAsia="en-US"/>
        </w:rPr>
        <w:t xml:space="preserve">u každé kategorie </w:t>
      </w:r>
      <w:r w:rsidRPr="00FA6D75">
        <w:rPr>
          <w:rFonts w:eastAsia="Calibri"/>
          <w:sz w:val="22"/>
          <w:szCs w:val="22"/>
          <w:lang w:eastAsia="en-US"/>
        </w:rPr>
        <w:t xml:space="preserve">financovat. </w:t>
      </w:r>
    </w:p>
    <w:p w14:paraId="68E5E55F" w14:textId="3BE7E025" w:rsidR="00587043" w:rsidRDefault="00587043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</w:t>
      </w:r>
      <w:r w:rsidR="00FA6D75">
        <w:rPr>
          <w:rFonts w:eastAsia="Calibri"/>
          <w:sz w:val="22"/>
          <w:szCs w:val="22"/>
          <w:lang w:eastAsia="en-US"/>
        </w:rPr>
        <w:t xml:space="preserve">ichal </w:t>
      </w:r>
      <w:r>
        <w:rPr>
          <w:rFonts w:eastAsia="Calibri"/>
          <w:sz w:val="22"/>
          <w:szCs w:val="22"/>
          <w:lang w:eastAsia="en-US"/>
        </w:rPr>
        <w:t>V</w:t>
      </w:r>
      <w:r w:rsidR="00FA6D75">
        <w:rPr>
          <w:rFonts w:eastAsia="Calibri"/>
          <w:sz w:val="22"/>
          <w:szCs w:val="22"/>
          <w:lang w:eastAsia="en-US"/>
        </w:rPr>
        <w:t>eber</w:t>
      </w:r>
      <w:r>
        <w:rPr>
          <w:rFonts w:eastAsia="Calibri"/>
          <w:sz w:val="22"/>
          <w:szCs w:val="22"/>
          <w:lang w:eastAsia="en-US"/>
        </w:rPr>
        <w:t xml:space="preserve"> doplnil, že členové Komise, kteří hodnotí žádosti v Opatření II.</w:t>
      </w:r>
      <w:r w:rsidR="002133F1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mají přesně daná kritéria a hodnotí se i význam akce</w:t>
      </w:r>
      <w:r w:rsidR="00FA6D75">
        <w:rPr>
          <w:rFonts w:eastAsia="Calibri"/>
          <w:sz w:val="22"/>
          <w:szCs w:val="22"/>
          <w:lang w:eastAsia="en-US"/>
        </w:rPr>
        <w:t xml:space="preserve"> pro HMP, </w:t>
      </w:r>
      <w:r>
        <w:rPr>
          <w:rFonts w:eastAsia="Calibri"/>
          <w:sz w:val="22"/>
          <w:szCs w:val="22"/>
          <w:lang w:eastAsia="en-US"/>
        </w:rPr>
        <w:t xml:space="preserve">nejenom počet účastníků.  U Opatření II. nedostávají žadatelé celou částku požadovanou v žádosti, ale je navrhována částka s ohledem na celkové bodové hodnocení všech </w:t>
      </w:r>
      <w:r w:rsidR="00FA6D75">
        <w:rPr>
          <w:rFonts w:eastAsia="Calibri"/>
          <w:sz w:val="22"/>
          <w:szCs w:val="22"/>
          <w:lang w:eastAsia="en-US"/>
        </w:rPr>
        <w:t>č</w:t>
      </w:r>
      <w:r>
        <w:rPr>
          <w:rFonts w:eastAsia="Calibri"/>
          <w:sz w:val="22"/>
          <w:szCs w:val="22"/>
          <w:lang w:eastAsia="en-US"/>
        </w:rPr>
        <w:t>lenů Komise.</w:t>
      </w:r>
    </w:p>
    <w:p w14:paraId="00607D7D" w14:textId="0E72166E" w:rsidR="009231BE" w:rsidRDefault="009231BE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Další připomínkou, kterou Bc. Roman Muška uvedl, byla podmínka pro Opatření I., kdy</w:t>
      </w:r>
      <w:r w:rsidRPr="009231BE">
        <w:rPr>
          <w:rFonts w:eastAsia="Calibri"/>
          <w:sz w:val="22"/>
          <w:szCs w:val="22"/>
          <w:lang w:eastAsia="en-US"/>
        </w:rPr>
        <w:t xml:space="preserve"> alespoň 30 % z celkového počtu </w:t>
      </w:r>
      <w:r w:rsidRPr="00BD6282">
        <w:rPr>
          <w:rFonts w:eastAsia="Calibri"/>
          <w:sz w:val="22"/>
          <w:szCs w:val="22"/>
          <w:lang w:eastAsia="en-US"/>
        </w:rPr>
        <w:t>registrovaných delegátů, kteří se eventu účastní prezenčně, musí být ubytováno v</w:t>
      </w:r>
      <w:r w:rsidR="00BD6282" w:rsidRPr="00BD6282">
        <w:rPr>
          <w:rFonts w:eastAsia="Calibri"/>
          <w:sz w:val="22"/>
          <w:szCs w:val="22"/>
          <w:lang w:eastAsia="en-US"/>
        </w:rPr>
        <w:t xml:space="preserve"> hromadném </w:t>
      </w:r>
      <w:r w:rsidRPr="00BD6282">
        <w:rPr>
          <w:rFonts w:eastAsia="Calibri"/>
          <w:sz w:val="22"/>
          <w:szCs w:val="22"/>
          <w:lang w:eastAsia="en-US"/>
        </w:rPr>
        <w:t xml:space="preserve">ubytovacím zařízení </w:t>
      </w:r>
      <w:r w:rsidR="00BD6282" w:rsidRPr="00BD6282">
        <w:rPr>
          <w:rFonts w:eastAsia="Calibri"/>
          <w:sz w:val="22"/>
          <w:szCs w:val="22"/>
          <w:lang w:eastAsia="en-US"/>
        </w:rPr>
        <w:t xml:space="preserve">(tj. v kategorii hotel, motel, penzion, apartmánový hotel dle čl. 5 Oficiální jednotné klasifikace ubytovacích zařízení České republiky) </w:t>
      </w:r>
      <w:r w:rsidRPr="00BD6282">
        <w:rPr>
          <w:rFonts w:eastAsia="Calibri"/>
          <w:sz w:val="22"/>
          <w:szCs w:val="22"/>
          <w:lang w:eastAsia="en-US"/>
        </w:rPr>
        <w:t>na území hl. m. Prahy</w:t>
      </w:r>
      <w:r w:rsidR="00BD6282">
        <w:rPr>
          <w:rFonts w:eastAsia="Calibri"/>
          <w:sz w:val="22"/>
          <w:szCs w:val="22"/>
          <w:lang w:eastAsia="en-US"/>
        </w:rPr>
        <w:t>.</w:t>
      </w:r>
      <w:r w:rsidRPr="00BD6282">
        <w:rPr>
          <w:rFonts w:eastAsia="Calibri"/>
          <w:sz w:val="22"/>
          <w:szCs w:val="22"/>
          <w:lang w:eastAsia="en-US"/>
        </w:rPr>
        <w:t xml:space="preserve"> Poukázal na problematičnost dokládání této podmínky při závěrečném finančním</w:t>
      </w:r>
      <w:r w:rsidRPr="009231BE">
        <w:rPr>
          <w:rFonts w:eastAsia="Calibri"/>
          <w:sz w:val="22"/>
          <w:szCs w:val="22"/>
          <w:lang w:eastAsia="en-US"/>
        </w:rPr>
        <w:t xml:space="preserve"> vypořádání Dotace</w:t>
      </w:r>
      <w:r>
        <w:rPr>
          <w:rFonts w:eastAsia="Calibri"/>
          <w:sz w:val="22"/>
          <w:szCs w:val="22"/>
          <w:lang w:eastAsia="en-US"/>
        </w:rPr>
        <w:t>.</w:t>
      </w:r>
    </w:p>
    <w:p w14:paraId="697202B9" w14:textId="4D7F626A" w:rsidR="009231BE" w:rsidRDefault="009231BE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 předseda se zeptal, jaké zkušenosti má KUC MHMP s dokládáním této podmínky. </w:t>
      </w:r>
    </w:p>
    <w:p w14:paraId="599CE873" w14:textId="49D32831" w:rsidR="009231BE" w:rsidRDefault="00B272BE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Vedoucí oddělení cestovního ruchu</w:t>
      </w:r>
      <w:r w:rsidR="009231BE">
        <w:rPr>
          <w:rFonts w:eastAsia="Calibri"/>
          <w:sz w:val="22"/>
          <w:szCs w:val="22"/>
          <w:lang w:eastAsia="en-US"/>
        </w:rPr>
        <w:t xml:space="preserve"> odpověděla, že zatím ještě žádná dotace nebyla vyúčtována, ke schválení dotací došlo v dubnu a dotace nad 200 000 Kč budou teprve schváleny. Nicméně tato podmínka byla </w:t>
      </w:r>
      <w:r>
        <w:rPr>
          <w:rFonts w:eastAsia="Calibri"/>
          <w:sz w:val="22"/>
          <w:szCs w:val="22"/>
          <w:lang w:eastAsia="en-US"/>
        </w:rPr>
        <w:t xml:space="preserve">zmíněna v r. 2021 ředitelem PCB </w:t>
      </w:r>
      <w:r w:rsidR="009231BE">
        <w:rPr>
          <w:rFonts w:eastAsia="Calibri"/>
          <w:sz w:val="22"/>
          <w:szCs w:val="22"/>
          <w:lang w:eastAsia="en-US"/>
        </w:rPr>
        <w:t>v souvislosti s</w:t>
      </w:r>
      <w:r>
        <w:rPr>
          <w:rFonts w:eastAsia="Calibri"/>
          <w:sz w:val="22"/>
          <w:szCs w:val="22"/>
          <w:lang w:eastAsia="en-US"/>
        </w:rPr>
        <w:t xml:space="preserve"> incentivní pobídkou </w:t>
      </w:r>
      <w:r w:rsidR="009231BE">
        <w:rPr>
          <w:rFonts w:eastAsia="Calibri"/>
          <w:sz w:val="22"/>
          <w:szCs w:val="22"/>
          <w:lang w:eastAsia="en-US"/>
        </w:rPr>
        <w:t>kongresů</w:t>
      </w:r>
      <w:r>
        <w:rPr>
          <w:rFonts w:eastAsia="Calibri"/>
          <w:sz w:val="22"/>
          <w:szCs w:val="22"/>
          <w:lang w:eastAsia="en-US"/>
        </w:rPr>
        <w:t xml:space="preserve">, kterou </w:t>
      </w:r>
      <w:r w:rsidR="00ED17C3">
        <w:rPr>
          <w:rFonts w:eastAsia="Calibri"/>
          <w:sz w:val="22"/>
          <w:szCs w:val="22"/>
          <w:lang w:eastAsia="en-US"/>
        </w:rPr>
        <w:t>má město</w:t>
      </w:r>
      <w:r w:rsidR="009231BE">
        <w:rPr>
          <w:rFonts w:eastAsia="Calibri"/>
          <w:sz w:val="22"/>
          <w:szCs w:val="22"/>
          <w:lang w:eastAsia="en-US"/>
        </w:rPr>
        <w:t xml:space="preserve"> </w:t>
      </w:r>
      <w:r w:rsidR="00722BDF">
        <w:rPr>
          <w:rFonts w:eastAsia="Calibri"/>
          <w:sz w:val="22"/>
          <w:szCs w:val="22"/>
          <w:lang w:eastAsia="en-US"/>
        </w:rPr>
        <w:t>V</w:t>
      </w:r>
      <w:r w:rsidR="009231BE">
        <w:rPr>
          <w:rFonts w:eastAsia="Calibri"/>
          <w:sz w:val="22"/>
          <w:szCs w:val="22"/>
          <w:lang w:eastAsia="en-US"/>
        </w:rPr>
        <w:t>ídeň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722BDF">
        <w:rPr>
          <w:rFonts w:eastAsia="Calibri"/>
          <w:sz w:val="22"/>
          <w:szCs w:val="22"/>
          <w:lang w:eastAsia="en-US"/>
        </w:rPr>
        <w:t>na základě toho byla do Programu podpory CR pro r</w:t>
      </w:r>
      <w:r>
        <w:rPr>
          <w:rFonts w:eastAsia="Calibri"/>
          <w:sz w:val="22"/>
          <w:szCs w:val="22"/>
          <w:lang w:eastAsia="en-US"/>
        </w:rPr>
        <w:t>o</w:t>
      </w:r>
      <w:r w:rsidR="00722BDF">
        <w:rPr>
          <w:rFonts w:eastAsia="Calibri"/>
          <w:sz w:val="22"/>
          <w:szCs w:val="22"/>
          <w:lang w:eastAsia="en-US"/>
        </w:rPr>
        <w:t>k 2022 včleněna</w:t>
      </w:r>
      <w:r>
        <w:rPr>
          <w:rFonts w:eastAsia="Calibri"/>
          <w:sz w:val="22"/>
          <w:szCs w:val="22"/>
          <w:lang w:eastAsia="en-US"/>
        </w:rPr>
        <w:t xml:space="preserve"> a v Programu pro rok 2023 zachována.</w:t>
      </w:r>
    </w:p>
    <w:p w14:paraId="2BC5FAAD" w14:textId="61BC255D" w:rsidR="00722BDF" w:rsidRDefault="00722BD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se zeptal tajemnice K</w:t>
      </w:r>
      <w:r w:rsidR="00B272BE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>mise, zda se v této souvislosti žadatelé dotaz</w:t>
      </w:r>
      <w:r w:rsidR="00B272BE">
        <w:rPr>
          <w:rFonts w:eastAsia="Calibri"/>
          <w:sz w:val="22"/>
          <w:szCs w:val="22"/>
          <w:lang w:eastAsia="en-US"/>
        </w:rPr>
        <w:t>ují</w:t>
      </w:r>
      <w:r>
        <w:rPr>
          <w:rFonts w:eastAsia="Calibri"/>
          <w:sz w:val="22"/>
          <w:szCs w:val="22"/>
          <w:lang w:eastAsia="en-US"/>
        </w:rPr>
        <w:t>, jak tuto podmínku budou m</w:t>
      </w:r>
      <w:r w:rsidR="00B272BE">
        <w:rPr>
          <w:rFonts w:eastAsia="Calibri"/>
          <w:sz w:val="22"/>
          <w:szCs w:val="22"/>
          <w:lang w:eastAsia="en-US"/>
        </w:rPr>
        <w:t xml:space="preserve">uset </w:t>
      </w:r>
      <w:r>
        <w:rPr>
          <w:rFonts w:eastAsia="Calibri"/>
          <w:sz w:val="22"/>
          <w:szCs w:val="22"/>
          <w:lang w:eastAsia="en-US"/>
        </w:rPr>
        <w:t>dok</w:t>
      </w:r>
      <w:r w:rsidR="00B272BE">
        <w:rPr>
          <w:rFonts w:eastAsia="Calibri"/>
          <w:sz w:val="22"/>
          <w:szCs w:val="22"/>
          <w:lang w:eastAsia="en-US"/>
        </w:rPr>
        <w:t>ládat</w:t>
      </w:r>
      <w:r>
        <w:rPr>
          <w:rFonts w:eastAsia="Calibri"/>
          <w:sz w:val="22"/>
          <w:szCs w:val="22"/>
          <w:lang w:eastAsia="en-US"/>
        </w:rPr>
        <w:t>.</w:t>
      </w:r>
    </w:p>
    <w:p w14:paraId="76278542" w14:textId="1D6ED4D9" w:rsidR="00ED17C3" w:rsidRDefault="00722BDF" w:rsidP="00ED17C3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Tajemnice potvrdila, že žadatelé se na tuto podmínku ptali a </w:t>
      </w:r>
      <w:r w:rsidR="00B272BE">
        <w:rPr>
          <w:rFonts w:eastAsia="Calibri"/>
          <w:sz w:val="22"/>
          <w:szCs w:val="22"/>
          <w:lang w:eastAsia="en-US"/>
        </w:rPr>
        <w:t xml:space="preserve">ptají, </w:t>
      </w:r>
      <w:r>
        <w:rPr>
          <w:rFonts w:eastAsia="Calibri"/>
          <w:sz w:val="22"/>
          <w:szCs w:val="22"/>
          <w:lang w:eastAsia="en-US"/>
        </w:rPr>
        <w:t>jako problematickou ji vid</w:t>
      </w:r>
      <w:r w:rsidR="00B272BE">
        <w:rPr>
          <w:rFonts w:eastAsia="Calibri"/>
          <w:sz w:val="22"/>
          <w:szCs w:val="22"/>
          <w:lang w:eastAsia="en-US"/>
        </w:rPr>
        <w:t>í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7F40CC">
        <w:rPr>
          <w:rFonts w:eastAsia="Calibri"/>
          <w:sz w:val="22"/>
          <w:szCs w:val="22"/>
          <w:lang w:eastAsia="en-US"/>
        </w:rPr>
        <w:t xml:space="preserve">zejména </w:t>
      </w:r>
      <w:r>
        <w:rPr>
          <w:rFonts w:eastAsia="Calibri"/>
          <w:sz w:val="22"/>
          <w:szCs w:val="22"/>
          <w:lang w:eastAsia="en-US"/>
        </w:rPr>
        <w:t xml:space="preserve">pořadatelé, kteří </w:t>
      </w:r>
      <w:r w:rsidR="00B272BE">
        <w:rPr>
          <w:rFonts w:eastAsia="Calibri"/>
          <w:sz w:val="22"/>
          <w:szCs w:val="22"/>
          <w:lang w:eastAsia="en-US"/>
        </w:rPr>
        <w:t xml:space="preserve">nemají </w:t>
      </w:r>
      <w:r>
        <w:rPr>
          <w:rFonts w:eastAsia="Calibri"/>
          <w:sz w:val="22"/>
          <w:szCs w:val="22"/>
          <w:lang w:eastAsia="en-US"/>
        </w:rPr>
        <w:t>nasmlouvané hotely pro svoji akci</w:t>
      </w:r>
      <w:r w:rsidR="00B272BE">
        <w:rPr>
          <w:rFonts w:eastAsia="Calibri"/>
          <w:sz w:val="22"/>
          <w:szCs w:val="22"/>
          <w:lang w:eastAsia="en-US"/>
        </w:rPr>
        <w:t xml:space="preserve"> prostřednictvím profesionálního organizátora nebo kdy </w:t>
      </w:r>
      <w:r w:rsidR="00B272BE" w:rsidRPr="00B272BE">
        <w:rPr>
          <w:rFonts w:eastAsia="Calibri"/>
          <w:sz w:val="22"/>
          <w:szCs w:val="22"/>
          <w:lang w:eastAsia="en-US"/>
        </w:rPr>
        <w:t>asociace nezajišťuje ubytování</w:t>
      </w:r>
      <w:r w:rsidR="00B272BE">
        <w:rPr>
          <w:rFonts w:eastAsia="Calibri"/>
          <w:sz w:val="22"/>
          <w:szCs w:val="22"/>
          <w:lang w:eastAsia="en-US"/>
        </w:rPr>
        <w:t>.</w:t>
      </w:r>
      <w:r w:rsidR="00B272BE" w:rsidRPr="00B272B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Nicméně možností, jak doložit podmínku 30</w:t>
      </w:r>
      <w:r w:rsidR="00BD628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% osob ubytovaných v zařízeních na úz</w:t>
      </w:r>
      <w:r w:rsidR="00ED17C3">
        <w:rPr>
          <w:rFonts w:eastAsia="Calibri"/>
          <w:sz w:val="22"/>
          <w:szCs w:val="22"/>
          <w:lang w:eastAsia="en-US"/>
        </w:rPr>
        <w:t>emí</w:t>
      </w:r>
      <w:r>
        <w:rPr>
          <w:rFonts w:eastAsia="Calibri"/>
          <w:sz w:val="22"/>
          <w:szCs w:val="22"/>
          <w:lang w:eastAsia="en-US"/>
        </w:rPr>
        <w:t xml:space="preserve"> HMP,</w:t>
      </w:r>
      <w:r w:rsidR="007F40CC">
        <w:rPr>
          <w:rFonts w:eastAsia="Calibri"/>
          <w:sz w:val="22"/>
          <w:szCs w:val="22"/>
          <w:lang w:eastAsia="en-US"/>
        </w:rPr>
        <w:t xml:space="preserve"> je více, </w:t>
      </w:r>
      <w:r>
        <w:rPr>
          <w:rFonts w:eastAsia="Calibri"/>
          <w:sz w:val="22"/>
          <w:szCs w:val="22"/>
          <w:lang w:eastAsia="en-US"/>
        </w:rPr>
        <w:t>ať už se jedná o sjetinu z hotelu nebo uvedení ubytování při registraci na místě v době konání akce nebo při registrac</w:t>
      </w:r>
      <w:r w:rsidR="00B272BE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na akci, při vyplňování registračního formuláře atp.) Tato podmínk</w:t>
      </w:r>
      <w:r w:rsidR="00ED17C3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byla uvedena již </w:t>
      </w:r>
      <w:r>
        <w:rPr>
          <w:rFonts w:eastAsia="Calibri"/>
          <w:sz w:val="22"/>
          <w:szCs w:val="22"/>
          <w:lang w:eastAsia="en-US"/>
        </w:rPr>
        <w:lastRenderedPageBreak/>
        <w:t>při zveřejnění Programu podpory pro rok 2022, tudíž se s ní žadatelé mohli včas seznámit</w:t>
      </w:r>
      <w:r w:rsidR="00ED17C3">
        <w:rPr>
          <w:rFonts w:eastAsia="Calibri"/>
          <w:sz w:val="22"/>
          <w:szCs w:val="22"/>
          <w:lang w:eastAsia="en-US"/>
        </w:rPr>
        <w:t xml:space="preserve"> a počítat s ní. </w:t>
      </w:r>
    </w:p>
    <w:p w14:paraId="511160C8" w14:textId="3FE8514A" w:rsidR="00ED17C3" w:rsidRPr="00ED17C3" w:rsidRDefault="00722BDF" w:rsidP="00ED17C3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</w:t>
      </w:r>
      <w:r w:rsidR="00ED17C3">
        <w:rPr>
          <w:rFonts w:eastAsia="Calibri"/>
          <w:sz w:val="22"/>
          <w:szCs w:val="22"/>
          <w:lang w:eastAsia="en-US"/>
        </w:rPr>
        <w:t xml:space="preserve">oman </w:t>
      </w:r>
      <w:r>
        <w:rPr>
          <w:rFonts w:eastAsia="Calibri"/>
          <w:sz w:val="22"/>
          <w:szCs w:val="22"/>
          <w:lang w:eastAsia="en-US"/>
        </w:rPr>
        <w:t>M</w:t>
      </w:r>
      <w:r w:rsidR="00ED17C3">
        <w:rPr>
          <w:rFonts w:eastAsia="Calibri"/>
          <w:sz w:val="22"/>
          <w:szCs w:val="22"/>
          <w:lang w:eastAsia="en-US"/>
        </w:rPr>
        <w:t xml:space="preserve">uška se zeptal, </w:t>
      </w:r>
      <w:r>
        <w:rPr>
          <w:rFonts w:eastAsia="Calibri"/>
          <w:sz w:val="22"/>
          <w:szCs w:val="22"/>
          <w:lang w:eastAsia="en-US"/>
        </w:rPr>
        <w:t xml:space="preserve">zda se neuvažuje pro rok 2023 s upravením této podmínky tak, aby u </w:t>
      </w:r>
      <w:r w:rsidR="00ED17C3" w:rsidRPr="00ED17C3">
        <w:rPr>
          <w:rFonts w:eastAsia="Calibri"/>
          <w:sz w:val="22"/>
          <w:szCs w:val="22"/>
          <w:lang w:eastAsia="en-US"/>
        </w:rPr>
        <w:t xml:space="preserve">mezinárodních akcí </w:t>
      </w:r>
      <w:r w:rsidR="00ED17C3">
        <w:rPr>
          <w:rFonts w:eastAsia="Calibri"/>
          <w:sz w:val="22"/>
          <w:szCs w:val="22"/>
          <w:lang w:eastAsia="en-US"/>
        </w:rPr>
        <w:t>postačovalo</w:t>
      </w:r>
      <w:r w:rsidR="00ED17C3" w:rsidRPr="00ED17C3">
        <w:rPr>
          <w:rFonts w:eastAsia="Calibri"/>
          <w:sz w:val="22"/>
          <w:szCs w:val="22"/>
          <w:lang w:eastAsia="en-US"/>
        </w:rPr>
        <w:t>, když 30</w:t>
      </w:r>
      <w:r w:rsidR="00D674BC">
        <w:rPr>
          <w:rFonts w:eastAsia="Calibri"/>
          <w:sz w:val="22"/>
          <w:szCs w:val="22"/>
          <w:lang w:eastAsia="en-US"/>
        </w:rPr>
        <w:t xml:space="preserve"> </w:t>
      </w:r>
      <w:r w:rsidR="00ED17C3" w:rsidRPr="00ED17C3">
        <w:rPr>
          <w:rFonts w:eastAsia="Calibri"/>
          <w:sz w:val="22"/>
          <w:szCs w:val="22"/>
          <w:lang w:eastAsia="en-US"/>
        </w:rPr>
        <w:t xml:space="preserve">% účastníků bude ze zahraničí (tzn. je zde předpoklad, že budou v Praze přespávat). U národních konferencí by </w:t>
      </w:r>
      <w:r w:rsidR="00ED17C3">
        <w:rPr>
          <w:rFonts w:eastAsia="Calibri"/>
          <w:sz w:val="22"/>
          <w:szCs w:val="22"/>
          <w:lang w:eastAsia="en-US"/>
        </w:rPr>
        <w:t xml:space="preserve">to </w:t>
      </w:r>
      <w:r w:rsidR="00ED17C3" w:rsidRPr="00ED17C3">
        <w:rPr>
          <w:rFonts w:eastAsia="Calibri"/>
          <w:sz w:val="22"/>
          <w:szCs w:val="22"/>
          <w:lang w:eastAsia="en-US"/>
        </w:rPr>
        <w:t xml:space="preserve">asi bylo potřeba doložit. </w:t>
      </w:r>
    </w:p>
    <w:p w14:paraId="1B8E3D44" w14:textId="685F6B5E" w:rsidR="00722BDF" w:rsidRDefault="00722BD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</w:t>
      </w:r>
      <w:r w:rsidR="00ED17C3">
        <w:rPr>
          <w:rFonts w:eastAsia="Calibri"/>
          <w:sz w:val="22"/>
          <w:szCs w:val="22"/>
          <w:lang w:eastAsia="en-US"/>
        </w:rPr>
        <w:t>ng. Jechová</w:t>
      </w:r>
      <w:r>
        <w:rPr>
          <w:rFonts w:eastAsia="Calibri"/>
          <w:sz w:val="22"/>
          <w:szCs w:val="22"/>
          <w:lang w:eastAsia="en-US"/>
        </w:rPr>
        <w:t xml:space="preserve"> upřesnila, že Opatření </w:t>
      </w:r>
      <w:r w:rsidR="00ED17C3">
        <w:rPr>
          <w:rFonts w:eastAsia="Calibri"/>
          <w:sz w:val="22"/>
          <w:szCs w:val="22"/>
          <w:lang w:eastAsia="en-US"/>
        </w:rPr>
        <w:t xml:space="preserve">I. </w:t>
      </w:r>
      <w:r>
        <w:rPr>
          <w:rFonts w:eastAsia="Calibri"/>
          <w:sz w:val="22"/>
          <w:szCs w:val="22"/>
          <w:lang w:eastAsia="en-US"/>
        </w:rPr>
        <w:t>je</w:t>
      </w:r>
      <w:r w:rsidR="00ED17C3">
        <w:rPr>
          <w:rFonts w:eastAsia="Calibri"/>
          <w:sz w:val="22"/>
          <w:szCs w:val="22"/>
          <w:lang w:eastAsia="en-US"/>
        </w:rPr>
        <w:t xml:space="preserve"> nyní</w:t>
      </w:r>
      <w:r>
        <w:rPr>
          <w:rFonts w:eastAsia="Calibri"/>
          <w:sz w:val="22"/>
          <w:szCs w:val="22"/>
          <w:lang w:eastAsia="en-US"/>
        </w:rPr>
        <w:t xml:space="preserve"> určeno i pro domácí </w:t>
      </w:r>
      <w:r w:rsidR="00ED17C3">
        <w:rPr>
          <w:rFonts w:eastAsia="Calibri"/>
          <w:sz w:val="22"/>
          <w:szCs w:val="22"/>
          <w:lang w:eastAsia="en-US"/>
        </w:rPr>
        <w:t xml:space="preserve">celostátní </w:t>
      </w:r>
      <w:r>
        <w:rPr>
          <w:rFonts w:eastAsia="Calibri"/>
          <w:sz w:val="22"/>
          <w:szCs w:val="22"/>
          <w:lang w:eastAsia="en-US"/>
        </w:rPr>
        <w:t>akce.</w:t>
      </w:r>
      <w:r w:rsidR="003316CC">
        <w:rPr>
          <w:rFonts w:eastAsia="Calibri"/>
          <w:sz w:val="22"/>
          <w:szCs w:val="22"/>
          <w:lang w:eastAsia="en-US"/>
        </w:rPr>
        <w:t xml:space="preserve"> Podmínka </w:t>
      </w:r>
      <w:r w:rsidR="00ED17C3">
        <w:rPr>
          <w:rFonts w:eastAsia="Calibri"/>
          <w:sz w:val="22"/>
          <w:szCs w:val="22"/>
          <w:lang w:eastAsia="en-US"/>
        </w:rPr>
        <w:t xml:space="preserve">povinné </w:t>
      </w:r>
      <w:r w:rsidR="003316CC">
        <w:rPr>
          <w:rFonts w:eastAsia="Calibri"/>
          <w:sz w:val="22"/>
          <w:szCs w:val="22"/>
          <w:lang w:eastAsia="en-US"/>
        </w:rPr>
        <w:t>mez</w:t>
      </w:r>
      <w:r w:rsidR="00ED17C3">
        <w:rPr>
          <w:rFonts w:eastAsia="Calibri"/>
          <w:sz w:val="22"/>
          <w:szCs w:val="22"/>
          <w:lang w:eastAsia="en-US"/>
        </w:rPr>
        <w:t>inárodní ú</w:t>
      </w:r>
      <w:r w:rsidR="003316CC">
        <w:rPr>
          <w:rFonts w:eastAsia="Calibri"/>
          <w:sz w:val="22"/>
          <w:szCs w:val="22"/>
          <w:lang w:eastAsia="en-US"/>
        </w:rPr>
        <w:t xml:space="preserve">časti existovala </w:t>
      </w:r>
      <w:r w:rsidR="00ED17C3">
        <w:rPr>
          <w:rFonts w:eastAsia="Calibri"/>
          <w:sz w:val="22"/>
          <w:szCs w:val="22"/>
          <w:lang w:eastAsia="en-US"/>
        </w:rPr>
        <w:t xml:space="preserve">v </w:t>
      </w:r>
      <w:r w:rsidR="003316CC">
        <w:rPr>
          <w:rFonts w:eastAsia="Calibri"/>
          <w:sz w:val="22"/>
          <w:szCs w:val="22"/>
          <w:lang w:eastAsia="en-US"/>
        </w:rPr>
        <w:t xml:space="preserve">Programech podpory v době před </w:t>
      </w:r>
      <w:proofErr w:type="spellStart"/>
      <w:r w:rsidR="003316CC">
        <w:rPr>
          <w:rFonts w:eastAsia="Calibri"/>
          <w:sz w:val="22"/>
          <w:szCs w:val="22"/>
          <w:lang w:eastAsia="en-US"/>
        </w:rPr>
        <w:t>covidem</w:t>
      </w:r>
      <w:proofErr w:type="spellEnd"/>
      <w:r w:rsidR="003316CC">
        <w:rPr>
          <w:rFonts w:eastAsia="Calibri"/>
          <w:sz w:val="22"/>
          <w:szCs w:val="22"/>
          <w:lang w:eastAsia="en-US"/>
        </w:rPr>
        <w:t>, ale v souv</w:t>
      </w:r>
      <w:r w:rsidR="00ED17C3">
        <w:rPr>
          <w:rFonts w:eastAsia="Calibri"/>
          <w:sz w:val="22"/>
          <w:szCs w:val="22"/>
          <w:lang w:eastAsia="en-US"/>
        </w:rPr>
        <w:t>i</w:t>
      </w:r>
      <w:r w:rsidR="003316CC">
        <w:rPr>
          <w:rFonts w:eastAsia="Calibri"/>
          <w:sz w:val="22"/>
          <w:szCs w:val="22"/>
          <w:lang w:eastAsia="en-US"/>
        </w:rPr>
        <w:t>slosti s</w:t>
      </w:r>
      <w:r w:rsidR="00ED17C3">
        <w:rPr>
          <w:rFonts w:eastAsia="Calibri"/>
          <w:sz w:val="22"/>
          <w:szCs w:val="22"/>
          <w:lang w:eastAsia="en-US"/>
        </w:rPr>
        <w:t> </w:t>
      </w:r>
      <w:r w:rsidR="003316CC">
        <w:rPr>
          <w:rFonts w:eastAsia="Calibri"/>
          <w:sz w:val="22"/>
          <w:szCs w:val="22"/>
          <w:lang w:eastAsia="en-US"/>
        </w:rPr>
        <w:t>kri</w:t>
      </w:r>
      <w:r w:rsidR="00ED17C3">
        <w:rPr>
          <w:rFonts w:eastAsia="Calibri"/>
          <w:sz w:val="22"/>
          <w:szCs w:val="22"/>
          <w:lang w:eastAsia="en-US"/>
        </w:rPr>
        <w:t xml:space="preserve">zí </w:t>
      </w:r>
      <w:r w:rsidR="003316CC">
        <w:rPr>
          <w:rFonts w:eastAsia="Calibri"/>
          <w:sz w:val="22"/>
          <w:szCs w:val="22"/>
          <w:lang w:eastAsia="en-US"/>
        </w:rPr>
        <w:t xml:space="preserve">příjezdového cestovního ruchu do Prahy </w:t>
      </w:r>
      <w:r w:rsidR="00ED17C3">
        <w:rPr>
          <w:rFonts w:eastAsia="Calibri"/>
          <w:sz w:val="22"/>
          <w:szCs w:val="22"/>
          <w:lang w:eastAsia="en-US"/>
        </w:rPr>
        <w:t>kvůli protiepid</w:t>
      </w:r>
      <w:r w:rsidR="00D674BC">
        <w:rPr>
          <w:rFonts w:eastAsia="Calibri"/>
          <w:sz w:val="22"/>
          <w:szCs w:val="22"/>
          <w:lang w:eastAsia="en-US"/>
        </w:rPr>
        <w:t>emickým</w:t>
      </w:r>
      <w:r w:rsidR="00ED17C3">
        <w:rPr>
          <w:rFonts w:eastAsia="Calibri"/>
          <w:sz w:val="22"/>
          <w:szCs w:val="22"/>
          <w:lang w:eastAsia="en-US"/>
        </w:rPr>
        <w:t xml:space="preserve"> opatřením</w:t>
      </w:r>
      <w:r w:rsidR="003316CC">
        <w:rPr>
          <w:rFonts w:eastAsia="Calibri"/>
          <w:sz w:val="22"/>
          <w:szCs w:val="22"/>
          <w:lang w:eastAsia="en-US"/>
        </w:rPr>
        <w:t xml:space="preserve"> město přistoupilo k podpoře domácího cestovního ruchu, a proto byl</w:t>
      </w:r>
      <w:r w:rsidR="00ED17C3">
        <w:rPr>
          <w:rFonts w:eastAsia="Calibri"/>
          <w:sz w:val="22"/>
          <w:szCs w:val="22"/>
          <w:lang w:eastAsia="en-US"/>
        </w:rPr>
        <w:t>a</w:t>
      </w:r>
      <w:r w:rsidR="003316CC">
        <w:rPr>
          <w:rFonts w:eastAsia="Calibri"/>
          <w:sz w:val="22"/>
          <w:szCs w:val="22"/>
          <w:lang w:eastAsia="en-US"/>
        </w:rPr>
        <w:t xml:space="preserve"> podmínk</w:t>
      </w:r>
      <w:r w:rsidR="00ED17C3">
        <w:rPr>
          <w:rFonts w:eastAsia="Calibri"/>
          <w:sz w:val="22"/>
          <w:szCs w:val="22"/>
          <w:lang w:eastAsia="en-US"/>
        </w:rPr>
        <w:t>a</w:t>
      </w:r>
      <w:r w:rsidR="003316CC">
        <w:rPr>
          <w:rFonts w:eastAsia="Calibri"/>
          <w:sz w:val="22"/>
          <w:szCs w:val="22"/>
          <w:lang w:eastAsia="en-US"/>
        </w:rPr>
        <w:t xml:space="preserve"> </w:t>
      </w:r>
      <w:r w:rsidR="00ED17C3">
        <w:rPr>
          <w:rFonts w:eastAsia="Calibri"/>
          <w:sz w:val="22"/>
          <w:szCs w:val="22"/>
          <w:lang w:eastAsia="en-US"/>
        </w:rPr>
        <w:t>povinné</w:t>
      </w:r>
      <w:r w:rsidR="003316CC">
        <w:rPr>
          <w:rFonts w:eastAsia="Calibri"/>
          <w:sz w:val="22"/>
          <w:szCs w:val="22"/>
          <w:lang w:eastAsia="en-US"/>
        </w:rPr>
        <w:t xml:space="preserve"> mez</w:t>
      </w:r>
      <w:r w:rsidR="00ED17C3">
        <w:rPr>
          <w:rFonts w:eastAsia="Calibri"/>
          <w:sz w:val="22"/>
          <w:szCs w:val="22"/>
          <w:lang w:eastAsia="en-US"/>
        </w:rPr>
        <w:t>inárodní ú</w:t>
      </w:r>
      <w:r w:rsidR="003316CC">
        <w:rPr>
          <w:rFonts w:eastAsia="Calibri"/>
          <w:sz w:val="22"/>
          <w:szCs w:val="22"/>
          <w:lang w:eastAsia="en-US"/>
        </w:rPr>
        <w:t xml:space="preserve">časti </w:t>
      </w:r>
      <w:r w:rsidR="00ED17C3">
        <w:rPr>
          <w:rFonts w:eastAsia="Calibri"/>
          <w:sz w:val="22"/>
          <w:szCs w:val="22"/>
          <w:lang w:eastAsia="en-US"/>
        </w:rPr>
        <w:t xml:space="preserve">vynechána a jednotně </w:t>
      </w:r>
      <w:r w:rsidR="003316CC">
        <w:rPr>
          <w:rFonts w:eastAsia="Calibri"/>
          <w:sz w:val="22"/>
          <w:szCs w:val="22"/>
          <w:lang w:eastAsia="en-US"/>
        </w:rPr>
        <w:t xml:space="preserve">zavedena podmínka </w:t>
      </w:r>
      <w:r w:rsidR="00ED17C3">
        <w:rPr>
          <w:rFonts w:eastAsia="Calibri"/>
          <w:sz w:val="22"/>
          <w:szCs w:val="22"/>
          <w:lang w:eastAsia="en-US"/>
        </w:rPr>
        <w:t xml:space="preserve">ubytování na území HMP. </w:t>
      </w:r>
    </w:p>
    <w:p w14:paraId="3383A06E" w14:textId="1EF78F41" w:rsidR="00722BDF" w:rsidRDefault="00ED17C3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Ředitel PCB přivítal, </w:t>
      </w:r>
      <w:r w:rsidR="003316CC">
        <w:rPr>
          <w:rFonts w:eastAsia="Calibri"/>
          <w:sz w:val="22"/>
          <w:szCs w:val="22"/>
          <w:lang w:eastAsia="en-US"/>
        </w:rPr>
        <w:t>že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3316CC">
        <w:rPr>
          <w:rFonts w:eastAsia="Calibri"/>
          <w:sz w:val="22"/>
          <w:szCs w:val="22"/>
          <w:lang w:eastAsia="en-US"/>
        </w:rPr>
        <w:t>je umožněno žádat o dotaci i pro tyto národní kongresy a doplnil, že úpravu podmínky dokládání ub</w:t>
      </w:r>
      <w:r>
        <w:rPr>
          <w:rFonts w:eastAsia="Calibri"/>
          <w:sz w:val="22"/>
          <w:szCs w:val="22"/>
          <w:lang w:eastAsia="en-US"/>
        </w:rPr>
        <w:t>y</w:t>
      </w:r>
      <w:r w:rsidR="003316CC">
        <w:rPr>
          <w:rFonts w:eastAsia="Calibri"/>
          <w:sz w:val="22"/>
          <w:szCs w:val="22"/>
          <w:lang w:eastAsia="en-US"/>
        </w:rPr>
        <w:t>tování mínil i ve vztahu k ulehčení administrativy v souv</w:t>
      </w:r>
      <w:r>
        <w:rPr>
          <w:rFonts w:eastAsia="Calibri"/>
          <w:sz w:val="22"/>
          <w:szCs w:val="22"/>
          <w:lang w:eastAsia="en-US"/>
        </w:rPr>
        <w:t>i</w:t>
      </w:r>
      <w:r w:rsidR="003316CC">
        <w:rPr>
          <w:rFonts w:eastAsia="Calibri"/>
          <w:sz w:val="22"/>
          <w:szCs w:val="22"/>
          <w:lang w:eastAsia="en-US"/>
        </w:rPr>
        <w:t>slosti s dotacemi.</w:t>
      </w:r>
    </w:p>
    <w:p w14:paraId="5D0BE11D" w14:textId="064A48A6" w:rsidR="00ED17C3" w:rsidRDefault="003316CC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</w:t>
      </w:r>
      <w:r w:rsidR="00ED17C3">
        <w:rPr>
          <w:rFonts w:eastAsia="Calibri"/>
          <w:sz w:val="22"/>
          <w:szCs w:val="22"/>
          <w:lang w:eastAsia="en-US"/>
        </w:rPr>
        <w:t>ichal Veber</w:t>
      </w:r>
      <w:r>
        <w:rPr>
          <w:rFonts w:eastAsia="Calibri"/>
          <w:sz w:val="22"/>
          <w:szCs w:val="22"/>
          <w:lang w:eastAsia="en-US"/>
        </w:rPr>
        <w:t xml:space="preserve"> konstatoval, že poku</w:t>
      </w:r>
      <w:r w:rsidR="00ED17C3">
        <w:rPr>
          <w:rFonts w:eastAsia="Calibri"/>
          <w:sz w:val="22"/>
          <w:szCs w:val="22"/>
          <w:lang w:eastAsia="en-US"/>
        </w:rPr>
        <w:t>d</w:t>
      </w:r>
      <w:r>
        <w:rPr>
          <w:rFonts w:eastAsia="Calibri"/>
          <w:sz w:val="22"/>
          <w:szCs w:val="22"/>
          <w:lang w:eastAsia="en-US"/>
        </w:rPr>
        <w:t xml:space="preserve"> žadatel požaduje p</w:t>
      </w:r>
      <w:r w:rsidR="00ED17C3">
        <w:rPr>
          <w:rFonts w:eastAsia="Calibri"/>
          <w:sz w:val="22"/>
          <w:szCs w:val="22"/>
          <w:lang w:eastAsia="en-US"/>
        </w:rPr>
        <w:t>en</w:t>
      </w:r>
      <w:r>
        <w:rPr>
          <w:rFonts w:eastAsia="Calibri"/>
          <w:sz w:val="22"/>
          <w:szCs w:val="22"/>
          <w:lang w:eastAsia="en-US"/>
        </w:rPr>
        <w:t>íze z veřejných rozpočtů, měl by pro to něc</w:t>
      </w:r>
      <w:r w:rsidR="00ED17C3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 xml:space="preserve"> udělat</w:t>
      </w:r>
      <w:r w:rsidR="00ED17C3">
        <w:rPr>
          <w:rFonts w:eastAsia="Calibri"/>
          <w:sz w:val="22"/>
          <w:szCs w:val="22"/>
          <w:lang w:eastAsia="en-US"/>
        </w:rPr>
        <w:t xml:space="preserve"> a v podmínce doložení ubytování na území HMP pro 30 </w:t>
      </w:r>
      <w:r w:rsidR="007F40CC">
        <w:rPr>
          <w:rFonts w:eastAsia="Calibri"/>
          <w:sz w:val="22"/>
          <w:szCs w:val="22"/>
          <w:lang w:eastAsia="en-US"/>
        </w:rPr>
        <w:t xml:space="preserve">% </w:t>
      </w:r>
      <w:r w:rsidR="00ED17C3">
        <w:rPr>
          <w:rFonts w:eastAsia="Calibri"/>
          <w:sz w:val="22"/>
          <w:szCs w:val="22"/>
          <w:lang w:eastAsia="en-US"/>
        </w:rPr>
        <w:t xml:space="preserve">registrovaných účastníků nevidí problém. </w:t>
      </w:r>
    </w:p>
    <w:p w14:paraId="24407D09" w14:textId="092C6FB5" w:rsidR="009231BE" w:rsidRDefault="00ED17C3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3316CC">
        <w:rPr>
          <w:rFonts w:eastAsia="Calibri"/>
          <w:sz w:val="22"/>
          <w:szCs w:val="22"/>
          <w:lang w:eastAsia="en-US"/>
        </w:rPr>
        <w:t xml:space="preserve">ro rok 2022 </w:t>
      </w:r>
      <w:r>
        <w:rPr>
          <w:rFonts w:eastAsia="Calibri"/>
          <w:sz w:val="22"/>
          <w:szCs w:val="22"/>
          <w:lang w:eastAsia="en-US"/>
        </w:rPr>
        <w:t xml:space="preserve">byla zmíněna </w:t>
      </w:r>
      <w:r w:rsidR="003316CC">
        <w:rPr>
          <w:rFonts w:eastAsia="Calibri"/>
          <w:sz w:val="22"/>
          <w:szCs w:val="22"/>
          <w:lang w:eastAsia="en-US"/>
        </w:rPr>
        <w:t xml:space="preserve">i </w:t>
      </w:r>
      <w:r>
        <w:rPr>
          <w:rFonts w:eastAsia="Calibri"/>
          <w:sz w:val="22"/>
          <w:szCs w:val="22"/>
          <w:lang w:eastAsia="en-US"/>
        </w:rPr>
        <w:t xml:space="preserve">možnost </w:t>
      </w:r>
      <w:r w:rsidR="003316CC">
        <w:rPr>
          <w:rFonts w:eastAsia="Calibri"/>
          <w:sz w:val="22"/>
          <w:szCs w:val="22"/>
          <w:lang w:eastAsia="en-US"/>
        </w:rPr>
        <w:t>uznání jakéhosi čestného prohlášení, že registrovaní účastníci byl</w:t>
      </w:r>
      <w:r w:rsidR="007F40CC">
        <w:rPr>
          <w:rFonts w:eastAsia="Calibri"/>
          <w:sz w:val="22"/>
          <w:szCs w:val="22"/>
          <w:lang w:eastAsia="en-US"/>
        </w:rPr>
        <w:t>i</w:t>
      </w:r>
      <w:r w:rsidR="003316CC">
        <w:rPr>
          <w:rFonts w:eastAsia="Calibri"/>
          <w:sz w:val="22"/>
          <w:szCs w:val="22"/>
          <w:lang w:eastAsia="en-US"/>
        </w:rPr>
        <w:t xml:space="preserve"> ubytováni na území HMP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9231BE" w:rsidRPr="009231BE">
        <w:rPr>
          <w:rFonts w:eastAsia="Calibri"/>
          <w:sz w:val="22"/>
          <w:szCs w:val="22"/>
          <w:lang w:eastAsia="en-US"/>
        </w:rPr>
        <w:t>Splnění této podmínky prokáže příjemce Dotace spolu s dalšími náležitostmi při závěrečném finančním vypořádání Dotace.</w:t>
      </w:r>
    </w:p>
    <w:p w14:paraId="29FD4A0C" w14:textId="76B7BD38" w:rsidR="0038519D" w:rsidRDefault="0038519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Další dotaz Romana </w:t>
      </w:r>
      <w:r w:rsidR="00ED17C3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ušky se týkal priority mezi kategorií </w:t>
      </w:r>
      <w:r w:rsidR="00ED17C3">
        <w:rPr>
          <w:rFonts w:eastAsia="Calibri"/>
          <w:sz w:val="22"/>
          <w:szCs w:val="22"/>
          <w:lang w:eastAsia="en-US"/>
        </w:rPr>
        <w:t>I.</w:t>
      </w:r>
      <w:r>
        <w:rPr>
          <w:rFonts w:eastAsia="Calibri"/>
          <w:sz w:val="22"/>
          <w:szCs w:val="22"/>
          <w:lang w:eastAsia="en-US"/>
        </w:rPr>
        <w:t xml:space="preserve">A a kategorií </w:t>
      </w:r>
      <w:r w:rsidR="00ED17C3">
        <w:rPr>
          <w:rFonts w:eastAsia="Calibri"/>
          <w:sz w:val="22"/>
          <w:szCs w:val="22"/>
          <w:lang w:eastAsia="en-US"/>
        </w:rPr>
        <w:t>I.</w:t>
      </w:r>
      <w:r>
        <w:rPr>
          <w:rFonts w:eastAsia="Calibri"/>
          <w:sz w:val="22"/>
          <w:szCs w:val="22"/>
          <w:lang w:eastAsia="en-US"/>
        </w:rPr>
        <w:t xml:space="preserve">B </w:t>
      </w:r>
      <w:r w:rsidR="00ED17C3">
        <w:rPr>
          <w:rFonts w:eastAsia="Calibri"/>
          <w:sz w:val="22"/>
          <w:szCs w:val="22"/>
          <w:lang w:eastAsia="en-US"/>
        </w:rPr>
        <w:t>v rámci</w:t>
      </w:r>
      <w:r>
        <w:rPr>
          <w:rFonts w:eastAsia="Calibri"/>
          <w:sz w:val="22"/>
          <w:szCs w:val="22"/>
          <w:lang w:eastAsia="en-US"/>
        </w:rPr>
        <w:t xml:space="preserve"> Opatření I, případně </w:t>
      </w:r>
      <w:r w:rsidR="00ED17C3">
        <w:rPr>
          <w:rFonts w:eastAsia="Calibri"/>
          <w:sz w:val="22"/>
          <w:szCs w:val="22"/>
          <w:lang w:eastAsia="en-US"/>
        </w:rPr>
        <w:t>prioritou Opatření I. před</w:t>
      </w:r>
      <w:r>
        <w:rPr>
          <w:rFonts w:eastAsia="Calibri"/>
          <w:sz w:val="22"/>
          <w:szCs w:val="22"/>
          <w:lang w:eastAsia="en-US"/>
        </w:rPr>
        <w:t xml:space="preserve"> Opatření</w:t>
      </w:r>
      <w:r w:rsidR="00ED17C3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 II.</w:t>
      </w:r>
    </w:p>
    <w:p w14:paraId="3C6442EC" w14:textId="2FA6D642" w:rsidR="0038519D" w:rsidRDefault="00ED17C3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Ing. Ivet</w:t>
      </w:r>
      <w:r w:rsidR="009C67C1">
        <w:rPr>
          <w:rFonts w:eastAsia="Calibri"/>
          <w:sz w:val="22"/>
          <w:szCs w:val="22"/>
          <w:lang w:eastAsia="en-US"/>
        </w:rPr>
        <w:t xml:space="preserve">a </w:t>
      </w:r>
      <w:r>
        <w:rPr>
          <w:rFonts w:eastAsia="Calibri"/>
          <w:sz w:val="22"/>
          <w:szCs w:val="22"/>
          <w:lang w:eastAsia="en-US"/>
        </w:rPr>
        <w:t>Jechová</w:t>
      </w:r>
      <w:r w:rsidR="0038519D">
        <w:rPr>
          <w:rFonts w:eastAsia="Calibri"/>
          <w:sz w:val="22"/>
          <w:szCs w:val="22"/>
          <w:lang w:eastAsia="en-US"/>
        </w:rPr>
        <w:t xml:space="preserve"> odvětila, že dříve tato podmínka v programu podpory byla</w:t>
      </w:r>
      <w:r>
        <w:rPr>
          <w:rFonts w:eastAsia="Calibri"/>
          <w:sz w:val="22"/>
          <w:szCs w:val="22"/>
          <w:lang w:eastAsia="en-US"/>
        </w:rPr>
        <w:t>, a to</w:t>
      </w:r>
      <w:r w:rsidR="0038519D">
        <w:rPr>
          <w:rFonts w:eastAsia="Calibri"/>
          <w:sz w:val="22"/>
          <w:szCs w:val="22"/>
          <w:lang w:eastAsia="en-US"/>
        </w:rPr>
        <w:t xml:space="preserve"> ve prospěch Opatření I., nyní j</w:t>
      </w:r>
      <w:r w:rsidR="009C67C1">
        <w:rPr>
          <w:rFonts w:eastAsia="Calibri"/>
          <w:sz w:val="22"/>
          <w:szCs w:val="22"/>
          <w:lang w:eastAsia="en-US"/>
        </w:rPr>
        <w:t>e P</w:t>
      </w:r>
      <w:r w:rsidR="0038519D">
        <w:rPr>
          <w:rFonts w:eastAsia="Calibri"/>
          <w:sz w:val="22"/>
          <w:szCs w:val="22"/>
          <w:lang w:eastAsia="en-US"/>
        </w:rPr>
        <w:t>rogram</w:t>
      </w:r>
      <w:r w:rsidR="009C67C1">
        <w:rPr>
          <w:rFonts w:eastAsia="Calibri"/>
          <w:sz w:val="22"/>
          <w:szCs w:val="22"/>
          <w:lang w:eastAsia="en-US"/>
        </w:rPr>
        <w:t xml:space="preserve"> nastaven tak, že </w:t>
      </w:r>
      <w:r w:rsidR="0038519D">
        <w:rPr>
          <w:rFonts w:eastAsia="Calibri"/>
          <w:sz w:val="22"/>
          <w:szCs w:val="22"/>
          <w:lang w:eastAsia="en-US"/>
        </w:rPr>
        <w:t xml:space="preserve">předpokládaná </w:t>
      </w:r>
      <w:r w:rsidR="009C67C1">
        <w:rPr>
          <w:rFonts w:eastAsia="Calibri"/>
          <w:sz w:val="22"/>
          <w:szCs w:val="22"/>
          <w:lang w:eastAsia="en-US"/>
        </w:rPr>
        <w:t xml:space="preserve">celková </w:t>
      </w:r>
      <w:r w:rsidR="0038519D">
        <w:rPr>
          <w:rFonts w:eastAsia="Calibri"/>
          <w:sz w:val="22"/>
          <w:szCs w:val="22"/>
          <w:lang w:eastAsia="en-US"/>
        </w:rPr>
        <w:t xml:space="preserve">částka pro Opatření I. </w:t>
      </w:r>
      <w:r w:rsidR="009C67C1">
        <w:rPr>
          <w:rFonts w:eastAsia="Calibri"/>
          <w:sz w:val="22"/>
          <w:szCs w:val="22"/>
          <w:lang w:eastAsia="en-US"/>
        </w:rPr>
        <w:t>je v</w:t>
      </w:r>
      <w:r w:rsidR="0038519D">
        <w:rPr>
          <w:rFonts w:eastAsia="Calibri"/>
          <w:sz w:val="22"/>
          <w:szCs w:val="22"/>
          <w:lang w:eastAsia="en-US"/>
        </w:rPr>
        <w:t>e výši 13 000 000 Kč</w:t>
      </w:r>
      <w:r w:rsidR="009C67C1">
        <w:rPr>
          <w:rFonts w:eastAsia="Calibri"/>
          <w:sz w:val="22"/>
          <w:szCs w:val="22"/>
          <w:lang w:eastAsia="en-US"/>
        </w:rPr>
        <w:t xml:space="preserve"> a</w:t>
      </w:r>
      <w:r w:rsidR="0038519D">
        <w:rPr>
          <w:rFonts w:eastAsia="Calibri"/>
          <w:sz w:val="22"/>
          <w:szCs w:val="22"/>
          <w:lang w:eastAsia="en-US"/>
        </w:rPr>
        <w:t xml:space="preserve"> pro Opatření II. 7 000 000 Kč s tím, že p</w:t>
      </w:r>
      <w:r w:rsidR="0038519D" w:rsidRPr="0038519D">
        <w:rPr>
          <w:rFonts w:eastAsia="Calibri"/>
          <w:sz w:val="22"/>
          <w:szCs w:val="22"/>
          <w:lang w:eastAsia="en-US"/>
        </w:rPr>
        <w:t xml:space="preserve">okud </w:t>
      </w:r>
      <w:r w:rsidR="0038519D">
        <w:rPr>
          <w:rFonts w:eastAsia="Calibri"/>
          <w:sz w:val="22"/>
          <w:szCs w:val="22"/>
          <w:lang w:eastAsia="en-US"/>
        </w:rPr>
        <w:t>p</w:t>
      </w:r>
      <w:r w:rsidR="0038519D" w:rsidRPr="0038519D">
        <w:rPr>
          <w:rFonts w:eastAsia="Calibri"/>
          <w:sz w:val="22"/>
          <w:szCs w:val="22"/>
          <w:lang w:eastAsia="en-US"/>
        </w:rPr>
        <w:t xml:space="preserve">eněžní prostředky určené pro jednotlivá </w:t>
      </w:r>
      <w:r w:rsidR="009C67C1">
        <w:rPr>
          <w:rFonts w:eastAsia="Calibri"/>
          <w:sz w:val="22"/>
          <w:szCs w:val="22"/>
          <w:lang w:eastAsia="en-US"/>
        </w:rPr>
        <w:t>o</w:t>
      </w:r>
      <w:r w:rsidR="0038519D" w:rsidRPr="0038519D">
        <w:rPr>
          <w:rFonts w:eastAsia="Calibri"/>
          <w:sz w:val="22"/>
          <w:szCs w:val="22"/>
          <w:lang w:eastAsia="en-US"/>
        </w:rPr>
        <w:t>patření nebudou vyčerpány v plné výši, mohou být převedeny do zbývajících opatření.</w:t>
      </w:r>
    </w:p>
    <w:p w14:paraId="3AC7B496" w14:textId="251553E7" w:rsidR="007877BF" w:rsidRDefault="007877B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se zeptal, zda někdo ze členů Komise má ještě nějakou připomínku </w:t>
      </w:r>
      <w:r w:rsidR="009C67C1">
        <w:rPr>
          <w:rFonts w:eastAsia="Calibri"/>
          <w:sz w:val="22"/>
          <w:szCs w:val="22"/>
          <w:lang w:eastAsia="en-US"/>
        </w:rPr>
        <w:t xml:space="preserve">k </w:t>
      </w:r>
      <w:r>
        <w:rPr>
          <w:rFonts w:eastAsia="Calibri"/>
          <w:sz w:val="22"/>
          <w:szCs w:val="22"/>
          <w:lang w:eastAsia="en-US"/>
        </w:rPr>
        <w:t>návrh</w:t>
      </w:r>
      <w:r w:rsidR="009C67C1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 Programu kromě navýšení max. částky na </w:t>
      </w:r>
      <w:proofErr w:type="spellStart"/>
      <w:r>
        <w:rPr>
          <w:rFonts w:eastAsia="Calibri"/>
          <w:sz w:val="22"/>
          <w:szCs w:val="22"/>
          <w:lang w:eastAsia="en-US"/>
        </w:rPr>
        <w:t>reg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  <w:r w:rsidR="009C67C1">
        <w:rPr>
          <w:rFonts w:eastAsia="Calibri"/>
          <w:sz w:val="22"/>
          <w:szCs w:val="22"/>
          <w:lang w:eastAsia="en-US"/>
        </w:rPr>
        <w:t>ú</w:t>
      </w:r>
      <w:r>
        <w:rPr>
          <w:rFonts w:eastAsia="Calibri"/>
          <w:sz w:val="22"/>
          <w:szCs w:val="22"/>
          <w:lang w:eastAsia="en-US"/>
        </w:rPr>
        <w:t xml:space="preserve">častníka v Opatření I. </w:t>
      </w:r>
      <w:r w:rsidR="009C67C1">
        <w:rPr>
          <w:rFonts w:eastAsia="Calibri"/>
          <w:sz w:val="22"/>
          <w:szCs w:val="22"/>
          <w:lang w:eastAsia="en-US"/>
        </w:rPr>
        <w:t>n</w:t>
      </w:r>
      <w:r>
        <w:rPr>
          <w:rFonts w:eastAsia="Calibri"/>
          <w:sz w:val="22"/>
          <w:szCs w:val="22"/>
          <w:lang w:eastAsia="en-US"/>
        </w:rPr>
        <w:t>a 450 K</w:t>
      </w:r>
      <w:r w:rsidR="009C67C1">
        <w:rPr>
          <w:rFonts w:eastAsia="Calibri"/>
          <w:sz w:val="22"/>
          <w:szCs w:val="22"/>
          <w:lang w:eastAsia="en-US"/>
        </w:rPr>
        <w:t>č</w:t>
      </w:r>
      <w:r>
        <w:rPr>
          <w:rFonts w:eastAsia="Calibri"/>
          <w:sz w:val="22"/>
          <w:szCs w:val="22"/>
          <w:lang w:eastAsia="en-US"/>
        </w:rPr>
        <w:t xml:space="preserve"> – pro kat. I.A a na 300 Kč pro </w:t>
      </w:r>
      <w:r w:rsidR="009C67C1">
        <w:rPr>
          <w:rFonts w:eastAsia="Calibri"/>
          <w:sz w:val="22"/>
          <w:szCs w:val="22"/>
          <w:lang w:eastAsia="en-US"/>
        </w:rPr>
        <w:t>k</w:t>
      </w:r>
      <w:r>
        <w:rPr>
          <w:rFonts w:eastAsia="Calibri"/>
          <w:sz w:val="22"/>
          <w:szCs w:val="22"/>
          <w:lang w:eastAsia="en-US"/>
        </w:rPr>
        <w:t>at. I.B.</w:t>
      </w:r>
    </w:p>
    <w:p w14:paraId="45601FFE" w14:textId="4B932C59" w:rsidR="007877BF" w:rsidRDefault="007877B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Nikdo z členů Komise další připomínk</w:t>
      </w:r>
      <w:r w:rsidR="009C67C1">
        <w:rPr>
          <w:rFonts w:eastAsia="Calibri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neměl. Ing. Jiří Stýbl</w:t>
      </w:r>
      <w:r w:rsidR="009C67C1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>, kter</w:t>
      </w:r>
      <w:r w:rsidR="009C67C1">
        <w:rPr>
          <w:rFonts w:eastAsia="Calibri"/>
          <w:sz w:val="22"/>
          <w:szCs w:val="22"/>
          <w:lang w:eastAsia="en-US"/>
        </w:rPr>
        <w:t xml:space="preserve">ý se zasedání </w:t>
      </w:r>
      <w:r w:rsidR="007F40CC">
        <w:rPr>
          <w:rFonts w:eastAsia="Calibri"/>
          <w:sz w:val="22"/>
          <w:szCs w:val="22"/>
          <w:lang w:eastAsia="en-US"/>
        </w:rPr>
        <w:t>K</w:t>
      </w:r>
      <w:r w:rsidR="009C67C1">
        <w:rPr>
          <w:rFonts w:eastAsia="Calibri"/>
          <w:sz w:val="22"/>
          <w:szCs w:val="22"/>
          <w:lang w:eastAsia="en-US"/>
        </w:rPr>
        <w:t xml:space="preserve">omise nemohl účastnit, zaslal své komentáře v předstihu písemně, ty byly </w:t>
      </w:r>
      <w:r>
        <w:rPr>
          <w:rFonts w:eastAsia="Calibri"/>
          <w:sz w:val="22"/>
          <w:szCs w:val="22"/>
          <w:lang w:eastAsia="en-US"/>
        </w:rPr>
        <w:t xml:space="preserve">předány předsedovi Komise </w:t>
      </w:r>
      <w:r w:rsidR="009C67C1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zodpovězeny v průběhu jednání v návaznosti na připomínky dalších členů.</w:t>
      </w:r>
      <w:r w:rsidR="009C67C1">
        <w:rPr>
          <w:rFonts w:eastAsia="Calibri"/>
          <w:sz w:val="22"/>
          <w:szCs w:val="22"/>
          <w:lang w:eastAsia="en-US"/>
        </w:rPr>
        <w:t xml:space="preserve"> V zaslaných komentářích je </w:t>
      </w:r>
      <w:r w:rsidR="007F40CC">
        <w:rPr>
          <w:rFonts w:eastAsia="Calibri"/>
          <w:sz w:val="22"/>
          <w:szCs w:val="22"/>
          <w:lang w:eastAsia="en-US"/>
        </w:rPr>
        <w:t>navíc zdůrazněn</w:t>
      </w:r>
      <w:r w:rsidR="009C67C1">
        <w:rPr>
          <w:rFonts w:eastAsia="Calibri"/>
          <w:sz w:val="22"/>
          <w:szCs w:val="22"/>
          <w:lang w:eastAsia="en-US"/>
        </w:rPr>
        <w:t xml:space="preserve"> zájem na zachování podpory i akcím hybridním v rámci Opatření I., neboť </w:t>
      </w:r>
      <w:r w:rsidR="009C67C1" w:rsidRPr="009C67C1">
        <w:rPr>
          <w:rFonts w:eastAsia="Calibri"/>
          <w:sz w:val="22"/>
          <w:szCs w:val="22"/>
          <w:lang w:eastAsia="en-US"/>
        </w:rPr>
        <w:t>znamen</w:t>
      </w:r>
      <w:r w:rsidR="009C67C1">
        <w:rPr>
          <w:rFonts w:eastAsia="Calibri"/>
          <w:sz w:val="22"/>
          <w:szCs w:val="22"/>
          <w:lang w:eastAsia="en-US"/>
        </w:rPr>
        <w:t>á</w:t>
      </w:r>
      <w:r w:rsidR="009C67C1" w:rsidRPr="009C67C1">
        <w:rPr>
          <w:rFonts w:eastAsia="Calibri"/>
          <w:sz w:val="22"/>
          <w:szCs w:val="22"/>
          <w:lang w:eastAsia="en-US"/>
        </w:rPr>
        <w:t xml:space="preserve"> rovněž nepřímou podporu služeb poskytovaných na území města, které jsou s ním spojené, např. hotelových nebo stravovacích.</w:t>
      </w:r>
      <w:r w:rsidR="009C67C1">
        <w:rPr>
          <w:rFonts w:eastAsia="Calibri"/>
          <w:sz w:val="22"/>
          <w:szCs w:val="22"/>
          <w:lang w:eastAsia="en-US"/>
        </w:rPr>
        <w:t xml:space="preserve"> S rozdělením částek pro Opatření I. a II. i s úpravou hodnotících kritérií či prezentací HMP v rámci smlouvy Ing. Jiří Stýblo souhlasil. </w:t>
      </w:r>
    </w:p>
    <w:p w14:paraId="169920F5" w14:textId="3055EE29" w:rsidR="007877BF" w:rsidRPr="00953B21" w:rsidRDefault="009C67C1" w:rsidP="00953B21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Ing. Iveta Jechová</w:t>
      </w:r>
      <w:r w:rsidR="007877B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shrnula</w:t>
      </w:r>
      <w:r w:rsidR="007877BF">
        <w:rPr>
          <w:rFonts w:eastAsia="Calibri"/>
          <w:sz w:val="22"/>
          <w:szCs w:val="22"/>
          <w:lang w:eastAsia="en-US"/>
        </w:rPr>
        <w:t xml:space="preserve">, že KUC MHMP </w:t>
      </w:r>
      <w:r>
        <w:rPr>
          <w:rFonts w:eastAsia="Calibri"/>
          <w:sz w:val="22"/>
          <w:szCs w:val="22"/>
          <w:lang w:eastAsia="en-US"/>
        </w:rPr>
        <w:t xml:space="preserve">nyní </w:t>
      </w:r>
      <w:r w:rsidR="007877BF">
        <w:rPr>
          <w:rFonts w:eastAsia="Calibri"/>
          <w:sz w:val="22"/>
          <w:szCs w:val="22"/>
          <w:lang w:eastAsia="en-US"/>
        </w:rPr>
        <w:t xml:space="preserve">vypracuje upravené znění Programu a spolu se zápisem </w:t>
      </w:r>
      <w:r>
        <w:rPr>
          <w:rFonts w:eastAsia="Calibri"/>
          <w:sz w:val="22"/>
          <w:szCs w:val="22"/>
          <w:lang w:eastAsia="en-US"/>
        </w:rPr>
        <w:t xml:space="preserve">z jednání </w:t>
      </w:r>
      <w:r w:rsidR="007F40CC">
        <w:rPr>
          <w:rFonts w:eastAsia="Calibri"/>
          <w:sz w:val="22"/>
          <w:szCs w:val="22"/>
          <w:lang w:eastAsia="en-US"/>
        </w:rPr>
        <w:t xml:space="preserve">zašle </w:t>
      </w:r>
      <w:r w:rsidR="007877BF">
        <w:rPr>
          <w:rFonts w:eastAsia="Calibri"/>
          <w:sz w:val="22"/>
          <w:szCs w:val="22"/>
          <w:lang w:eastAsia="en-US"/>
        </w:rPr>
        <w:t>členům Komise. Tato verze bude zárove</w:t>
      </w:r>
      <w:r>
        <w:rPr>
          <w:rFonts w:eastAsia="Calibri"/>
          <w:sz w:val="22"/>
          <w:szCs w:val="22"/>
          <w:lang w:eastAsia="en-US"/>
        </w:rPr>
        <w:t>ň</w:t>
      </w:r>
      <w:r w:rsidR="007877BF">
        <w:rPr>
          <w:rFonts w:eastAsia="Calibri"/>
          <w:sz w:val="22"/>
          <w:szCs w:val="22"/>
          <w:lang w:eastAsia="en-US"/>
        </w:rPr>
        <w:t xml:space="preserve"> představena na zase</w:t>
      </w:r>
      <w:r>
        <w:rPr>
          <w:rFonts w:eastAsia="Calibri"/>
          <w:sz w:val="22"/>
          <w:szCs w:val="22"/>
          <w:lang w:eastAsia="en-US"/>
        </w:rPr>
        <w:t>d</w:t>
      </w:r>
      <w:r w:rsidR="007877BF">
        <w:rPr>
          <w:rFonts w:eastAsia="Calibri"/>
          <w:sz w:val="22"/>
          <w:szCs w:val="22"/>
          <w:lang w:eastAsia="en-US"/>
        </w:rPr>
        <w:t xml:space="preserve">ání Komise RHMP pro oblast cestovního ruchu. Členové se již s návrhem Programu </w:t>
      </w:r>
      <w:r>
        <w:rPr>
          <w:rFonts w:eastAsia="Calibri"/>
          <w:sz w:val="22"/>
          <w:szCs w:val="22"/>
          <w:lang w:eastAsia="en-US"/>
        </w:rPr>
        <w:t xml:space="preserve">měli možnost </w:t>
      </w:r>
      <w:r w:rsidR="007877BF">
        <w:rPr>
          <w:rFonts w:eastAsia="Calibri"/>
          <w:sz w:val="22"/>
          <w:szCs w:val="22"/>
          <w:lang w:eastAsia="en-US"/>
        </w:rPr>
        <w:t>seznámi</w:t>
      </w:r>
      <w:r>
        <w:rPr>
          <w:rFonts w:eastAsia="Calibri"/>
          <w:sz w:val="22"/>
          <w:szCs w:val="22"/>
          <w:lang w:eastAsia="en-US"/>
        </w:rPr>
        <w:t>t</w:t>
      </w:r>
      <w:r w:rsidR="007877BF">
        <w:rPr>
          <w:rFonts w:eastAsia="Calibri"/>
          <w:sz w:val="22"/>
          <w:szCs w:val="22"/>
          <w:lang w:eastAsia="en-US"/>
        </w:rPr>
        <w:t>, Program jim byl zaslán, ale kromě Ing. Jiřího Stýbla, který je členem obou Komisí, vlastně žádný z členů připomínky neměl. Vyjádřil se pouze I</w:t>
      </w:r>
      <w:r>
        <w:rPr>
          <w:rFonts w:eastAsia="Calibri"/>
          <w:sz w:val="22"/>
          <w:szCs w:val="22"/>
          <w:lang w:eastAsia="en-US"/>
        </w:rPr>
        <w:t>n</w:t>
      </w:r>
      <w:r w:rsidR="007877BF">
        <w:rPr>
          <w:rFonts w:eastAsia="Calibri"/>
          <w:sz w:val="22"/>
          <w:szCs w:val="22"/>
          <w:lang w:eastAsia="en-US"/>
        </w:rPr>
        <w:t>g. Václav Novotný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953B21">
        <w:rPr>
          <w:rFonts w:eastAsia="Calibri"/>
          <w:sz w:val="22"/>
          <w:szCs w:val="22"/>
          <w:lang w:eastAsia="en-US"/>
        </w:rPr>
        <w:t xml:space="preserve">místopředseda představenstva PCT a.s., </w:t>
      </w:r>
      <w:r w:rsidR="007877BF">
        <w:rPr>
          <w:rFonts w:eastAsia="Calibri"/>
          <w:sz w:val="22"/>
          <w:szCs w:val="22"/>
          <w:lang w:eastAsia="en-US"/>
        </w:rPr>
        <w:t xml:space="preserve">který zmínil kritérium </w:t>
      </w:r>
      <w:r>
        <w:rPr>
          <w:rFonts w:eastAsia="Calibri"/>
          <w:sz w:val="22"/>
          <w:szCs w:val="22"/>
          <w:lang w:eastAsia="en-US"/>
        </w:rPr>
        <w:t xml:space="preserve">hodnocení žádosti ve vztahu k ostatním žádostem </w:t>
      </w:r>
      <w:r w:rsidR="00953B21">
        <w:rPr>
          <w:rFonts w:eastAsia="Calibri"/>
          <w:sz w:val="22"/>
          <w:szCs w:val="22"/>
          <w:lang w:eastAsia="en-US"/>
        </w:rPr>
        <w:t xml:space="preserve">a pan </w:t>
      </w:r>
      <w:r w:rsidR="00953B21" w:rsidRPr="00953B21">
        <w:rPr>
          <w:rFonts w:eastAsia="Calibri"/>
          <w:sz w:val="22"/>
          <w:szCs w:val="22"/>
          <w:lang w:eastAsia="en-US"/>
        </w:rPr>
        <w:t xml:space="preserve">Jiří </w:t>
      </w:r>
      <w:r w:rsidR="00953B21" w:rsidRPr="00953B21">
        <w:rPr>
          <w:rFonts w:eastAsia="Calibri"/>
          <w:sz w:val="22"/>
          <w:szCs w:val="22"/>
          <w:lang w:eastAsia="en-US"/>
        </w:rPr>
        <w:lastRenderedPageBreak/>
        <w:t>Vyskoč</w:t>
      </w:r>
      <w:r w:rsidR="00953B21">
        <w:rPr>
          <w:rFonts w:eastAsia="Calibri"/>
          <w:sz w:val="22"/>
          <w:szCs w:val="22"/>
          <w:lang w:eastAsia="en-US"/>
        </w:rPr>
        <w:t>, v</w:t>
      </w:r>
      <w:r w:rsidR="00953B21" w:rsidRPr="00953B21">
        <w:rPr>
          <w:rFonts w:eastAsia="Calibri"/>
          <w:sz w:val="22"/>
          <w:szCs w:val="22"/>
          <w:lang w:eastAsia="en-US"/>
        </w:rPr>
        <w:t>ýkonný ředitel</w:t>
      </w:r>
      <w:r w:rsidR="00953B21">
        <w:rPr>
          <w:rFonts w:eastAsia="Calibri"/>
          <w:sz w:val="22"/>
          <w:szCs w:val="22"/>
          <w:lang w:eastAsia="en-US"/>
        </w:rPr>
        <w:t xml:space="preserve"> r</w:t>
      </w:r>
      <w:r w:rsidR="00953B21" w:rsidRPr="00953B21">
        <w:rPr>
          <w:rFonts w:eastAsia="Calibri"/>
          <w:sz w:val="22"/>
          <w:szCs w:val="22"/>
          <w:lang w:eastAsia="en-US"/>
        </w:rPr>
        <w:t>ozvoj</w:t>
      </w:r>
      <w:r w:rsidR="00953B21">
        <w:rPr>
          <w:rFonts w:eastAsia="Calibri"/>
          <w:sz w:val="22"/>
          <w:szCs w:val="22"/>
          <w:lang w:eastAsia="en-US"/>
        </w:rPr>
        <w:t xml:space="preserve">e </w:t>
      </w:r>
      <w:r w:rsidR="00953B21" w:rsidRPr="00953B21">
        <w:rPr>
          <w:rFonts w:eastAsia="Calibri"/>
          <w:sz w:val="22"/>
          <w:szCs w:val="22"/>
          <w:lang w:eastAsia="en-US"/>
        </w:rPr>
        <w:t>leteckého obchodu</w:t>
      </w:r>
      <w:r w:rsidR="007877BF">
        <w:rPr>
          <w:rFonts w:eastAsia="Calibri"/>
          <w:sz w:val="22"/>
          <w:szCs w:val="22"/>
          <w:lang w:eastAsia="en-US"/>
        </w:rPr>
        <w:t> </w:t>
      </w:r>
      <w:r w:rsidR="00953B21">
        <w:rPr>
          <w:rFonts w:eastAsia="Calibri"/>
          <w:sz w:val="22"/>
          <w:szCs w:val="22"/>
          <w:lang w:eastAsia="en-US"/>
        </w:rPr>
        <w:t xml:space="preserve">z </w:t>
      </w:r>
      <w:r w:rsidR="007877BF">
        <w:rPr>
          <w:rFonts w:eastAsia="Calibri"/>
          <w:sz w:val="22"/>
          <w:szCs w:val="22"/>
          <w:lang w:eastAsia="en-US"/>
        </w:rPr>
        <w:t>Letiště Praha</w:t>
      </w:r>
      <w:r w:rsidR="00953B21">
        <w:rPr>
          <w:rFonts w:eastAsia="Calibri"/>
          <w:sz w:val="22"/>
          <w:szCs w:val="22"/>
          <w:lang w:eastAsia="en-US"/>
        </w:rPr>
        <w:t xml:space="preserve"> a.s</w:t>
      </w:r>
      <w:r w:rsidR="00953B21" w:rsidRPr="00953B21">
        <w:rPr>
          <w:rFonts w:eastAsia="Calibri"/>
          <w:sz w:val="22"/>
          <w:szCs w:val="22"/>
          <w:lang w:eastAsia="en-US"/>
        </w:rPr>
        <w:t>.</w:t>
      </w:r>
      <w:r w:rsidR="007877BF" w:rsidRPr="00953B21">
        <w:rPr>
          <w:rFonts w:eastAsia="Calibri"/>
          <w:sz w:val="22"/>
          <w:szCs w:val="22"/>
          <w:lang w:eastAsia="en-US"/>
        </w:rPr>
        <w:t>, který</w:t>
      </w:r>
      <w:r w:rsidR="00953B21" w:rsidRPr="00953B21">
        <w:rPr>
          <w:sz w:val="22"/>
          <w:szCs w:val="22"/>
        </w:rPr>
        <w:t xml:space="preserve"> Program pochválil a </w:t>
      </w:r>
      <w:r w:rsidR="007F40CC">
        <w:rPr>
          <w:sz w:val="22"/>
          <w:szCs w:val="22"/>
        </w:rPr>
        <w:t>vyslovil</w:t>
      </w:r>
      <w:r w:rsidR="00953B21">
        <w:rPr>
          <w:sz w:val="22"/>
          <w:szCs w:val="22"/>
        </w:rPr>
        <w:t xml:space="preserve"> </w:t>
      </w:r>
      <w:r w:rsidR="00953B21" w:rsidRPr="00953B21">
        <w:rPr>
          <w:rFonts w:eastAsia="Calibri"/>
          <w:sz w:val="22"/>
          <w:szCs w:val="22"/>
          <w:lang w:eastAsia="en-US"/>
        </w:rPr>
        <w:t>souhlas s</w:t>
      </w:r>
      <w:r w:rsidR="00953B21">
        <w:rPr>
          <w:rFonts w:eastAsia="Calibri"/>
          <w:sz w:val="22"/>
          <w:szCs w:val="22"/>
          <w:lang w:eastAsia="en-US"/>
        </w:rPr>
        <w:t xml:space="preserve"> jeho zněním </w:t>
      </w:r>
      <w:r w:rsidR="00953B21" w:rsidRPr="00953B21">
        <w:rPr>
          <w:rFonts w:eastAsia="Calibri"/>
          <w:sz w:val="22"/>
          <w:szCs w:val="22"/>
          <w:lang w:eastAsia="en-US"/>
        </w:rPr>
        <w:t>v plném rozsahu</w:t>
      </w:r>
      <w:r w:rsidR="007877BF" w:rsidRPr="00953B21">
        <w:rPr>
          <w:rFonts w:eastAsia="Calibri"/>
          <w:sz w:val="22"/>
          <w:szCs w:val="22"/>
          <w:lang w:eastAsia="en-US"/>
        </w:rPr>
        <w:t xml:space="preserve">. </w:t>
      </w:r>
      <w:r w:rsidR="00953B21">
        <w:rPr>
          <w:rFonts w:eastAsia="Calibri"/>
          <w:sz w:val="22"/>
          <w:szCs w:val="22"/>
          <w:lang w:eastAsia="en-US"/>
        </w:rPr>
        <w:t xml:space="preserve">Ing. Jechová na závěr dodala, že </w:t>
      </w:r>
      <w:r w:rsidR="007877BF" w:rsidRPr="00953B21">
        <w:rPr>
          <w:rFonts w:eastAsia="Calibri"/>
          <w:sz w:val="22"/>
          <w:szCs w:val="22"/>
          <w:lang w:eastAsia="en-US"/>
        </w:rPr>
        <w:t xml:space="preserve">Program podpory bude představen </w:t>
      </w:r>
      <w:r w:rsidR="00D674BC">
        <w:rPr>
          <w:rFonts w:eastAsia="Calibri"/>
          <w:sz w:val="22"/>
          <w:szCs w:val="22"/>
          <w:lang w:eastAsia="en-US"/>
        </w:rPr>
        <w:t xml:space="preserve">zřejmě na červnovém </w:t>
      </w:r>
      <w:r w:rsidR="007877BF" w:rsidRPr="00953B21">
        <w:rPr>
          <w:rFonts w:eastAsia="Calibri"/>
          <w:sz w:val="22"/>
          <w:szCs w:val="22"/>
          <w:lang w:eastAsia="en-US"/>
        </w:rPr>
        <w:t>zasedání Výboru</w:t>
      </w:r>
      <w:r w:rsidR="00953B21">
        <w:rPr>
          <w:rFonts w:eastAsia="Calibri"/>
          <w:sz w:val="22"/>
          <w:szCs w:val="22"/>
          <w:lang w:eastAsia="en-US"/>
        </w:rPr>
        <w:t xml:space="preserve"> </w:t>
      </w:r>
      <w:r w:rsidR="00953B21" w:rsidRPr="00953B21">
        <w:rPr>
          <w:rFonts w:eastAsia="Calibri"/>
          <w:sz w:val="22"/>
          <w:szCs w:val="22"/>
          <w:lang w:eastAsia="en-US"/>
        </w:rPr>
        <w:t>ZHMP pro kulturu, výstavnictví, cestovní ruch a zahraniční vztahy</w:t>
      </w:r>
      <w:r w:rsidR="00953B21">
        <w:rPr>
          <w:rFonts w:eastAsia="Calibri"/>
          <w:sz w:val="22"/>
          <w:szCs w:val="22"/>
          <w:lang w:eastAsia="en-US"/>
        </w:rPr>
        <w:t xml:space="preserve"> (dále „Výbor“)</w:t>
      </w:r>
      <w:r w:rsidR="007877BF" w:rsidRPr="00953B21">
        <w:rPr>
          <w:rFonts w:eastAsia="Calibri"/>
          <w:sz w:val="22"/>
          <w:szCs w:val="22"/>
          <w:lang w:eastAsia="en-US"/>
        </w:rPr>
        <w:t>.</w:t>
      </w:r>
    </w:p>
    <w:p w14:paraId="45C737D1" w14:textId="164837AB" w:rsidR="007877BF" w:rsidRDefault="007877BF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vznesl dotaz, zda by bylo možné Program zařadit </w:t>
      </w:r>
      <w:r w:rsidR="00D674BC">
        <w:rPr>
          <w:rFonts w:eastAsia="Calibri"/>
          <w:sz w:val="22"/>
          <w:szCs w:val="22"/>
          <w:lang w:eastAsia="en-US"/>
        </w:rPr>
        <w:t xml:space="preserve">již </w:t>
      </w:r>
      <w:r>
        <w:rPr>
          <w:rFonts w:eastAsia="Calibri"/>
          <w:sz w:val="22"/>
          <w:szCs w:val="22"/>
          <w:lang w:eastAsia="en-US"/>
        </w:rPr>
        <w:t>na květnové zasedání Výboru, zda by mohl KUC MHMP během dne podklady připravit</w:t>
      </w:r>
      <w:r w:rsidR="00953B21">
        <w:rPr>
          <w:rFonts w:eastAsia="Calibri"/>
          <w:sz w:val="22"/>
          <w:szCs w:val="22"/>
          <w:lang w:eastAsia="en-US"/>
        </w:rPr>
        <w:t xml:space="preserve"> a materiál zaslat následující den k rukám tajemníka Výboru</w:t>
      </w:r>
      <w:r>
        <w:rPr>
          <w:rFonts w:eastAsia="Calibri"/>
          <w:sz w:val="22"/>
          <w:szCs w:val="22"/>
          <w:lang w:eastAsia="en-US"/>
        </w:rPr>
        <w:t>.</w:t>
      </w:r>
    </w:p>
    <w:p w14:paraId="38431761" w14:textId="385A894B" w:rsidR="006170A1" w:rsidRDefault="006170A1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Bylo přislíbeno, že materiál do Výboru s upraveným návrhe</w:t>
      </w:r>
      <w:r w:rsidR="00953B21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 Programu </w:t>
      </w:r>
      <w:r w:rsidR="007F40CC">
        <w:rPr>
          <w:rFonts w:eastAsia="Calibri"/>
          <w:sz w:val="22"/>
          <w:szCs w:val="22"/>
          <w:lang w:eastAsia="en-US"/>
        </w:rPr>
        <w:t>KUC MHMP připraví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14:paraId="0A7D5418" w14:textId="402DE53F" w:rsidR="00A37656" w:rsidRPr="006F2944" w:rsidRDefault="006170A1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Násl</w:t>
      </w:r>
      <w:r w:rsidR="00953B21">
        <w:rPr>
          <w:rFonts w:eastAsia="Calibri"/>
          <w:sz w:val="22"/>
          <w:szCs w:val="22"/>
          <w:lang w:eastAsia="en-US"/>
        </w:rPr>
        <w:t>e</w:t>
      </w:r>
      <w:r>
        <w:rPr>
          <w:rFonts w:eastAsia="Calibri"/>
          <w:sz w:val="22"/>
          <w:szCs w:val="22"/>
          <w:lang w:eastAsia="en-US"/>
        </w:rPr>
        <w:t xml:space="preserve">dovalo hlasování o </w:t>
      </w:r>
      <w:r w:rsidR="007F40CC">
        <w:rPr>
          <w:rFonts w:eastAsia="Calibri"/>
          <w:sz w:val="22"/>
          <w:szCs w:val="22"/>
          <w:lang w:eastAsia="en-US"/>
        </w:rPr>
        <w:t>návrhu Programu</w:t>
      </w:r>
      <w:r>
        <w:rPr>
          <w:rFonts w:eastAsia="Calibri"/>
          <w:sz w:val="22"/>
          <w:szCs w:val="22"/>
          <w:lang w:eastAsia="en-US"/>
        </w:rPr>
        <w:t>.</w:t>
      </w:r>
      <w:r w:rsidR="00193D63">
        <w:rPr>
          <w:rFonts w:eastAsia="Calibri"/>
          <w:sz w:val="22"/>
          <w:szCs w:val="22"/>
          <w:lang w:eastAsia="en-US"/>
        </w:rPr>
        <w:t xml:space="preserve"> 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Komise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přijala následující   </w:t>
      </w:r>
      <w:r w:rsidR="00A37656"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6C1DEFA7" w14:textId="5A129C8D" w:rsidR="006170A1" w:rsidRPr="00900E52" w:rsidRDefault="00735D6A" w:rsidP="006170A1">
      <w:pPr>
        <w:spacing w:before="240" w:after="120" w:line="276" w:lineRule="auto"/>
        <w:jc w:val="both"/>
        <w:rPr>
          <w:rFonts w:eastAsia="Calibri"/>
          <w:b/>
          <w:bCs/>
          <w:i/>
          <w:iCs/>
        </w:rPr>
      </w:pPr>
      <w:r w:rsidRPr="00900E52">
        <w:rPr>
          <w:rFonts w:eastAsia="Calibri"/>
          <w:b/>
          <w:i/>
        </w:rPr>
        <w:t xml:space="preserve">Komise Rady hl. m. Prahy pro udělování grantů v oblasti cestovního ruchu </w:t>
      </w:r>
      <w:r w:rsidR="006170A1" w:rsidRPr="00900E52">
        <w:rPr>
          <w:rFonts w:eastAsia="Calibri"/>
          <w:b/>
          <w:i/>
        </w:rPr>
        <w:t xml:space="preserve">souhlasí </w:t>
      </w:r>
      <w:r w:rsidR="00193D63" w:rsidRPr="00900E52">
        <w:rPr>
          <w:rFonts w:eastAsia="Calibri"/>
          <w:b/>
          <w:i/>
        </w:rPr>
        <w:t xml:space="preserve">s navrhovaným Programem podpory CR pro rok 2023, se zapracováním změn týkajících se zvýšení částky na registrovaného účastníka, který se kongresu nebo konference účastní prezenčně v místě konání, v kategorii I.A. Opatření I. na 450 Kč a v kategorii I.B na 300 Kč,  při zvýšení celkové max. částky za kongres nebo konferenci v kategorii I.B s ohledem na toto navýšení (dle přehledu č. 1) a </w:t>
      </w:r>
      <w:r w:rsidR="006170A1" w:rsidRPr="00900E52">
        <w:rPr>
          <w:rFonts w:eastAsia="Calibri"/>
          <w:b/>
          <w:bCs/>
          <w:i/>
          <w:iCs/>
        </w:rPr>
        <w:t xml:space="preserve">doporučuje předložit </w:t>
      </w:r>
      <w:r w:rsidR="00193D63" w:rsidRPr="00900E52">
        <w:rPr>
          <w:rFonts w:eastAsia="Calibri"/>
          <w:b/>
          <w:bCs/>
          <w:i/>
          <w:iCs/>
        </w:rPr>
        <w:t xml:space="preserve">tento návrh </w:t>
      </w:r>
      <w:r w:rsidR="006170A1" w:rsidRPr="00900E52">
        <w:rPr>
          <w:rFonts w:eastAsia="Calibri"/>
          <w:b/>
          <w:bCs/>
          <w:i/>
          <w:iCs/>
        </w:rPr>
        <w:t xml:space="preserve">k dalšímu projednání ve Výboru </w:t>
      </w:r>
      <w:bookmarkStart w:id="2" w:name="_Hlk102405838"/>
      <w:r w:rsidR="006170A1" w:rsidRPr="00900E52">
        <w:rPr>
          <w:rFonts w:eastAsia="Calibri"/>
          <w:b/>
          <w:bCs/>
          <w:i/>
          <w:iCs/>
        </w:rPr>
        <w:t>ZHMP pro kulturu, výstavnictví, cestovní ruch a zahraniční vztahy</w:t>
      </w:r>
      <w:bookmarkEnd w:id="2"/>
      <w:r w:rsidR="006170A1" w:rsidRPr="00900E52">
        <w:rPr>
          <w:rFonts w:eastAsia="Calibri"/>
          <w:b/>
          <w:bCs/>
          <w:i/>
          <w:iCs/>
        </w:rPr>
        <w:t>.</w:t>
      </w:r>
    </w:p>
    <w:p w14:paraId="37978374" w14:textId="77777777" w:rsidR="00A37656" w:rsidRPr="00900E52" w:rsidRDefault="00A37656" w:rsidP="006F2944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4A9ADAC6" w14:textId="3390C144" w:rsidR="00A37656" w:rsidRPr="00900E52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="00735D6A" w:rsidRPr="00900E52">
        <w:rPr>
          <w:rFonts w:eastAsia="Calibri"/>
          <w:b/>
          <w:sz w:val="22"/>
          <w:szCs w:val="22"/>
          <w:lang w:eastAsia="en-US"/>
        </w:rPr>
        <w:t>4</w:t>
      </w:r>
      <w:r w:rsidRPr="00900E52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="00735D6A" w:rsidRPr="00900E52">
        <w:rPr>
          <w:rFonts w:eastAsia="Calibri"/>
          <w:b/>
          <w:sz w:val="22"/>
          <w:szCs w:val="22"/>
          <w:lang w:eastAsia="en-US"/>
        </w:rPr>
        <w:t>4</w:t>
      </w:r>
      <w:r w:rsidRPr="00900E52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900E52">
        <w:rPr>
          <w:rFonts w:eastAsia="Calibri"/>
          <w:b/>
          <w:sz w:val="22"/>
          <w:szCs w:val="22"/>
          <w:lang w:eastAsia="en-US"/>
        </w:rPr>
        <w:tab/>
      </w:r>
    </w:p>
    <w:p w14:paraId="31C7AB68" w14:textId="77777777" w:rsidR="00A37656" w:rsidRPr="00900E52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Proti: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</w:p>
    <w:p w14:paraId="54078793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00E52">
        <w:rPr>
          <w:rFonts w:eastAsia="Calibri"/>
          <w:b/>
          <w:sz w:val="22"/>
          <w:szCs w:val="22"/>
          <w:lang w:eastAsia="en-US"/>
        </w:rPr>
        <w:t>Zdržel se:</w:t>
      </w:r>
      <w:r w:rsidRPr="00900E52">
        <w:rPr>
          <w:rFonts w:eastAsia="Calibri"/>
          <w:b/>
          <w:sz w:val="22"/>
          <w:szCs w:val="22"/>
          <w:lang w:eastAsia="en-US"/>
        </w:rPr>
        <w:tab/>
        <w:t>0</w:t>
      </w:r>
      <w:r w:rsidRPr="00900E52">
        <w:rPr>
          <w:rFonts w:eastAsia="Calibri"/>
          <w:b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sz w:val="22"/>
          <w:szCs w:val="22"/>
          <w:lang w:eastAsia="en-US"/>
        </w:rPr>
        <w:tab/>
      </w:r>
      <w:r w:rsidRPr="00900E52">
        <w:rPr>
          <w:rFonts w:eastAsia="Calibri"/>
          <w:b/>
          <w:sz w:val="22"/>
          <w:szCs w:val="22"/>
          <w:lang w:eastAsia="en-US"/>
        </w:rPr>
        <w:t>0</w:t>
      </w:r>
    </w:p>
    <w:p w14:paraId="1CE0224B" w14:textId="72556873" w:rsidR="008B4166" w:rsidRDefault="008B4166" w:rsidP="0011564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F3023E">
        <w:rPr>
          <w:rFonts w:eastAsia="Calibri"/>
          <w:b/>
          <w:sz w:val="28"/>
          <w:szCs w:val="28"/>
          <w:lang w:eastAsia="en-US"/>
        </w:rPr>
        <w:t>. Různé</w:t>
      </w:r>
    </w:p>
    <w:p w14:paraId="2CFDD79A" w14:textId="5EB4B791" w:rsidR="00115646" w:rsidRPr="00900E52" w:rsidRDefault="00900E52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00E52">
        <w:rPr>
          <w:rFonts w:eastAsia="Calibri"/>
          <w:sz w:val="22"/>
          <w:szCs w:val="22"/>
          <w:lang w:eastAsia="en-US"/>
        </w:rPr>
        <w:t>Předseda se zeptal, zda někdo z členů Komise má v bodě různé nějaké návrhy či připomínky.</w:t>
      </w:r>
    </w:p>
    <w:p w14:paraId="55F3197B" w14:textId="1D6ABFA8" w:rsidR="00900E52" w:rsidRPr="00900E52" w:rsidRDefault="00900E52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00E52">
        <w:rPr>
          <w:rFonts w:eastAsia="Calibri"/>
          <w:sz w:val="22"/>
          <w:szCs w:val="22"/>
          <w:lang w:eastAsia="en-US"/>
        </w:rPr>
        <w:t>Michal Veber poděkoval KUC MHMP za zpracování návrhu Programu</w:t>
      </w:r>
      <w:r w:rsidR="007F40CC">
        <w:rPr>
          <w:rFonts w:eastAsia="Calibri"/>
          <w:sz w:val="22"/>
          <w:szCs w:val="22"/>
          <w:lang w:eastAsia="en-US"/>
        </w:rPr>
        <w:t>, za podklady</w:t>
      </w:r>
      <w:r w:rsidRPr="00900E52">
        <w:rPr>
          <w:rFonts w:eastAsia="Calibri"/>
          <w:sz w:val="22"/>
          <w:szCs w:val="22"/>
          <w:lang w:eastAsia="en-US"/>
        </w:rPr>
        <w:t xml:space="preserve"> a za promítnutí připomínek </w:t>
      </w:r>
      <w:r>
        <w:rPr>
          <w:rFonts w:eastAsia="Calibri"/>
          <w:sz w:val="22"/>
          <w:szCs w:val="22"/>
          <w:lang w:eastAsia="en-US"/>
        </w:rPr>
        <w:t xml:space="preserve">k hodnotícím kritériím </w:t>
      </w:r>
      <w:r w:rsidR="007F40CC">
        <w:rPr>
          <w:rFonts w:eastAsia="Calibri"/>
          <w:sz w:val="22"/>
          <w:szCs w:val="22"/>
          <w:lang w:eastAsia="en-US"/>
        </w:rPr>
        <w:t xml:space="preserve">(především </w:t>
      </w:r>
      <w:r>
        <w:rPr>
          <w:rFonts w:eastAsia="Calibri"/>
          <w:sz w:val="22"/>
          <w:szCs w:val="22"/>
          <w:lang w:eastAsia="en-US"/>
        </w:rPr>
        <w:t xml:space="preserve">zapracováním významu </w:t>
      </w:r>
      <w:r w:rsidRPr="00900E52">
        <w:rPr>
          <w:rFonts w:eastAsia="Calibri"/>
          <w:sz w:val="22"/>
          <w:szCs w:val="22"/>
          <w:lang w:eastAsia="en-US"/>
        </w:rPr>
        <w:t>přesahu akce/projektu do budoucna</w:t>
      </w:r>
      <w:r w:rsidR="007F40CC">
        <w:rPr>
          <w:rFonts w:eastAsia="Calibri"/>
          <w:sz w:val="22"/>
          <w:szCs w:val="22"/>
          <w:lang w:eastAsia="en-US"/>
        </w:rPr>
        <w:t>)</w:t>
      </w:r>
      <w:r w:rsidRPr="00900E5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do hodnotící tabulky</w:t>
      </w:r>
      <w:r w:rsidRPr="00900E52">
        <w:rPr>
          <w:rFonts w:eastAsia="Calibri"/>
          <w:sz w:val="22"/>
          <w:szCs w:val="22"/>
          <w:lang w:eastAsia="en-US"/>
        </w:rPr>
        <w:t>.</w:t>
      </w:r>
    </w:p>
    <w:p w14:paraId="043BDF97" w14:textId="77777777" w:rsidR="008B4166" w:rsidRPr="00F3023E" w:rsidRDefault="008B4166" w:rsidP="008B416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F3023E">
        <w:rPr>
          <w:rFonts w:eastAsia="Calibri"/>
          <w:b/>
          <w:sz w:val="28"/>
          <w:szCs w:val="28"/>
          <w:lang w:eastAsia="en-US"/>
        </w:rPr>
        <w:t>. Závěr jednání a rekapitulace úkolů</w:t>
      </w:r>
    </w:p>
    <w:p w14:paraId="07FD5875" w14:textId="25DD09D1" w:rsidR="008B4166" w:rsidRPr="00F3023E" w:rsidRDefault="00900E52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15646">
        <w:rPr>
          <w:rFonts w:eastAsia="Calibri"/>
          <w:sz w:val="22"/>
          <w:szCs w:val="22"/>
          <w:lang w:eastAsia="en-US"/>
        </w:rPr>
        <w:t xml:space="preserve">ředseda Komise poděkoval všem členům </w:t>
      </w:r>
      <w:r w:rsidR="006170A1">
        <w:rPr>
          <w:rFonts w:eastAsia="Calibri"/>
          <w:sz w:val="22"/>
          <w:szCs w:val="22"/>
          <w:lang w:eastAsia="en-US"/>
        </w:rPr>
        <w:t xml:space="preserve">Komise a panu </w:t>
      </w:r>
      <w:r>
        <w:rPr>
          <w:rFonts w:eastAsia="Calibri"/>
          <w:sz w:val="22"/>
          <w:szCs w:val="22"/>
          <w:lang w:eastAsia="en-US"/>
        </w:rPr>
        <w:t>řediteli PCB,</w:t>
      </w:r>
      <w:r w:rsidR="006170A1">
        <w:rPr>
          <w:rFonts w:eastAsia="Calibri"/>
          <w:sz w:val="22"/>
          <w:szCs w:val="22"/>
          <w:lang w:eastAsia="en-US"/>
        </w:rPr>
        <w:t xml:space="preserve"> Romanu Muškovi </w:t>
      </w:r>
      <w:r w:rsidR="00115646">
        <w:rPr>
          <w:rFonts w:eastAsia="Calibri"/>
          <w:sz w:val="22"/>
          <w:szCs w:val="22"/>
          <w:lang w:eastAsia="en-US"/>
        </w:rPr>
        <w:t>za účast na jednání</w:t>
      </w:r>
      <w:r w:rsidR="006170A1">
        <w:rPr>
          <w:rFonts w:eastAsia="Calibri"/>
          <w:sz w:val="22"/>
          <w:szCs w:val="22"/>
          <w:lang w:eastAsia="en-US"/>
        </w:rPr>
        <w:t xml:space="preserve"> </w:t>
      </w:r>
      <w:r w:rsidR="00115646">
        <w:rPr>
          <w:rFonts w:eastAsia="Calibri"/>
          <w:sz w:val="22"/>
          <w:szCs w:val="22"/>
          <w:lang w:eastAsia="en-US"/>
        </w:rPr>
        <w:t>a</w:t>
      </w:r>
      <w:r w:rsidR="006170A1">
        <w:rPr>
          <w:rFonts w:eastAsia="Calibri"/>
          <w:sz w:val="22"/>
          <w:szCs w:val="22"/>
          <w:lang w:eastAsia="en-US"/>
        </w:rPr>
        <w:t xml:space="preserve"> za komentáře. Poděkoval KUC MHMP za zpracování návrhů a všechny podklady a </w:t>
      </w:r>
      <w:r w:rsidR="00115646">
        <w:rPr>
          <w:rFonts w:eastAsia="Calibri"/>
          <w:sz w:val="22"/>
          <w:szCs w:val="22"/>
          <w:lang w:eastAsia="en-US"/>
        </w:rPr>
        <w:t xml:space="preserve">konstatoval, že pravděpodobně se jednalo o poslední zasedání Komise před volbami. </w:t>
      </w:r>
      <w:r w:rsidR="006170A1">
        <w:rPr>
          <w:rFonts w:eastAsia="Calibri"/>
          <w:sz w:val="22"/>
          <w:szCs w:val="22"/>
          <w:lang w:eastAsia="en-US"/>
        </w:rPr>
        <w:t>Poděkoval proto všem za spolupráci s tím, že doufá, že se členové</w:t>
      </w:r>
      <w:r>
        <w:rPr>
          <w:rFonts w:eastAsia="Calibri"/>
          <w:sz w:val="22"/>
          <w:szCs w:val="22"/>
          <w:lang w:eastAsia="en-US"/>
        </w:rPr>
        <w:t xml:space="preserve"> Komise </w:t>
      </w:r>
      <w:r w:rsidR="006170A1">
        <w:rPr>
          <w:rFonts w:eastAsia="Calibri"/>
          <w:sz w:val="22"/>
          <w:szCs w:val="22"/>
          <w:lang w:eastAsia="en-US"/>
        </w:rPr>
        <w:t xml:space="preserve">setkají i v dalším volebním období. </w:t>
      </w:r>
      <w:r w:rsidR="00115646">
        <w:rPr>
          <w:rFonts w:eastAsia="Calibri"/>
          <w:sz w:val="22"/>
          <w:szCs w:val="22"/>
          <w:lang w:eastAsia="en-US"/>
        </w:rPr>
        <w:t xml:space="preserve">Následně </w:t>
      </w:r>
      <w:r w:rsidR="008B4166">
        <w:rPr>
          <w:rFonts w:eastAsia="Calibri"/>
          <w:sz w:val="22"/>
          <w:szCs w:val="22"/>
          <w:lang w:eastAsia="en-US"/>
        </w:rPr>
        <w:t>1</w:t>
      </w:r>
      <w:r w:rsidR="00115646">
        <w:rPr>
          <w:rFonts w:eastAsia="Calibri"/>
          <w:sz w:val="22"/>
          <w:szCs w:val="22"/>
          <w:lang w:eastAsia="en-US"/>
        </w:rPr>
        <w:t>3</w:t>
      </w:r>
      <w:r w:rsidR="008B4166">
        <w:rPr>
          <w:rFonts w:eastAsia="Calibri"/>
          <w:sz w:val="22"/>
          <w:szCs w:val="22"/>
          <w:lang w:eastAsia="en-US"/>
        </w:rPr>
        <w:t xml:space="preserve">. jednání Komise </w:t>
      </w:r>
      <w:r w:rsidR="008B4166" w:rsidRPr="00F3023E">
        <w:rPr>
          <w:rFonts w:eastAsia="Calibri"/>
          <w:sz w:val="22"/>
          <w:szCs w:val="22"/>
          <w:lang w:eastAsia="en-US"/>
        </w:rPr>
        <w:t>ukončil.</w:t>
      </w:r>
    </w:p>
    <w:p w14:paraId="6CC313F8" w14:textId="74C06C43" w:rsidR="008B4166" w:rsidRPr="00F3023E" w:rsidRDefault="008B4166" w:rsidP="008B41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04D86CB5" w14:textId="5DD61470" w:rsidR="008B4166" w:rsidRPr="00F105E0" w:rsidRDefault="00D674BC" w:rsidP="00900E52">
      <w:pPr>
        <w:spacing w:after="200" w:line="276" w:lineRule="auto"/>
        <w:jc w:val="both"/>
        <w:rPr>
          <w:sz w:val="22"/>
        </w:rPr>
      </w:pPr>
      <w:r>
        <w:rPr>
          <w:rFonts w:eastAsia="Calibri"/>
          <w:sz w:val="22"/>
          <w:szCs w:val="22"/>
          <w:lang w:eastAsia="en-US"/>
        </w:rPr>
        <w:t>Ověřil</w:t>
      </w:r>
      <w:r w:rsidR="008B4166" w:rsidRPr="00F3023E">
        <w:rPr>
          <w:rFonts w:eastAsia="Calibri"/>
          <w:sz w:val="22"/>
          <w:szCs w:val="22"/>
          <w:lang w:eastAsia="en-US"/>
        </w:rPr>
        <w:t xml:space="preserve">:  </w:t>
      </w:r>
      <w:r w:rsidR="008B4166" w:rsidRPr="00F3023E">
        <w:rPr>
          <w:rFonts w:eastAsia="Calibri"/>
          <w:sz w:val="22"/>
          <w:szCs w:val="22"/>
          <w:lang w:eastAsia="en-US"/>
        </w:rPr>
        <w:tab/>
        <w:t xml:space="preserve"> Mgr. Martin Benda</w:t>
      </w:r>
    </w:p>
    <w:sectPr w:rsidR="008B4166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4B8" w14:textId="77777777" w:rsidR="00ED17C3" w:rsidRDefault="00ED17C3" w:rsidP="00F105E0">
      <w:r>
        <w:separator/>
      </w:r>
    </w:p>
  </w:endnote>
  <w:endnote w:type="continuationSeparator" w:id="0">
    <w:p w14:paraId="3CC62543" w14:textId="77777777" w:rsidR="00ED17C3" w:rsidRDefault="00ED17C3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EC37" w14:textId="77777777" w:rsidR="00ED17C3" w:rsidRDefault="00ED17C3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3C0AE774" w14:textId="77777777" w:rsidR="00ED17C3" w:rsidRDefault="00ED17C3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095E0F15" w14:textId="77777777" w:rsidR="00ED17C3" w:rsidRDefault="00ED17C3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7875461B" w14:textId="77777777" w:rsidR="00ED17C3" w:rsidRPr="00F105E0" w:rsidRDefault="00ED17C3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8C1" w14:textId="77777777" w:rsidR="00ED17C3" w:rsidRDefault="00ED17C3" w:rsidP="00F105E0">
      <w:r>
        <w:separator/>
      </w:r>
    </w:p>
  </w:footnote>
  <w:footnote w:type="continuationSeparator" w:id="0">
    <w:p w14:paraId="1CF46C33" w14:textId="77777777" w:rsidR="00ED17C3" w:rsidRDefault="00ED17C3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ED17C3" w14:paraId="54476FB1" w14:textId="77777777" w:rsidTr="00F105E0">
      <w:tc>
        <w:tcPr>
          <w:tcW w:w="1814" w:type="dxa"/>
          <w:shd w:val="clear" w:color="auto" w:fill="auto"/>
        </w:tcPr>
        <w:p w14:paraId="1D59A10F" w14:textId="77777777" w:rsidR="00ED17C3" w:rsidRDefault="00ED17C3">
          <w:pPr>
            <w:pStyle w:val="Zhlav"/>
          </w:pPr>
          <w:r>
            <w:rPr>
              <w:noProof/>
            </w:rPr>
            <w:drawing>
              <wp:inline distT="0" distB="0" distL="0" distR="0" wp14:anchorId="4A5A7FA6" wp14:editId="0CDFD402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2847A6B" w14:textId="77777777" w:rsidR="00ED17C3" w:rsidRDefault="00ED17C3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7F5916A9" w14:textId="77777777" w:rsidR="00ED17C3" w:rsidRPr="00F105E0" w:rsidRDefault="00ED17C3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ED17C3" w:rsidRPr="00F105E0" w:rsidRDefault="00ED17C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77777777" w:rsidR="00ED17C3" w:rsidRDefault="00ED1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B70"/>
    <w:multiLevelType w:val="hybridMultilevel"/>
    <w:tmpl w:val="62CE0C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CDE"/>
    <w:multiLevelType w:val="hybridMultilevel"/>
    <w:tmpl w:val="7BD4FA40"/>
    <w:lvl w:ilvl="0" w:tplc="15B87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682C"/>
    <w:rsid w:val="00021119"/>
    <w:rsid w:val="00022F95"/>
    <w:rsid w:val="00037B92"/>
    <w:rsid w:val="0005695E"/>
    <w:rsid w:val="000612F5"/>
    <w:rsid w:val="00061B0C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02CDC"/>
    <w:rsid w:val="00115646"/>
    <w:rsid w:val="00116BE4"/>
    <w:rsid w:val="001277A5"/>
    <w:rsid w:val="00130CED"/>
    <w:rsid w:val="001321CF"/>
    <w:rsid w:val="00132F51"/>
    <w:rsid w:val="00136457"/>
    <w:rsid w:val="00141FE6"/>
    <w:rsid w:val="00145EE0"/>
    <w:rsid w:val="00146813"/>
    <w:rsid w:val="00156083"/>
    <w:rsid w:val="00177AE7"/>
    <w:rsid w:val="00181480"/>
    <w:rsid w:val="00186C9D"/>
    <w:rsid w:val="00193D63"/>
    <w:rsid w:val="00196F46"/>
    <w:rsid w:val="001A104B"/>
    <w:rsid w:val="001B05C3"/>
    <w:rsid w:val="001B47E8"/>
    <w:rsid w:val="001B6D9C"/>
    <w:rsid w:val="001D1D65"/>
    <w:rsid w:val="001D4187"/>
    <w:rsid w:val="00203056"/>
    <w:rsid w:val="002104EA"/>
    <w:rsid w:val="002133F1"/>
    <w:rsid w:val="00213729"/>
    <w:rsid w:val="0023192C"/>
    <w:rsid w:val="002363D7"/>
    <w:rsid w:val="00254995"/>
    <w:rsid w:val="00261AF0"/>
    <w:rsid w:val="002637F8"/>
    <w:rsid w:val="00281367"/>
    <w:rsid w:val="00291217"/>
    <w:rsid w:val="002A5090"/>
    <w:rsid w:val="002C2D5C"/>
    <w:rsid w:val="002C7776"/>
    <w:rsid w:val="00314296"/>
    <w:rsid w:val="0032066F"/>
    <w:rsid w:val="003316CC"/>
    <w:rsid w:val="003362A7"/>
    <w:rsid w:val="0034229D"/>
    <w:rsid w:val="00355412"/>
    <w:rsid w:val="00362C94"/>
    <w:rsid w:val="00375095"/>
    <w:rsid w:val="0038519D"/>
    <w:rsid w:val="00387958"/>
    <w:rsid w:val="0039717A"/>
    <w:rsid w:val="003A1852"/>
    <w:rsid w:val="003A6BEB"/>
    <w:rsid w:val="003A7419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13DB"/>
    <w:rsid w:val="004435E6"/>
    <w:rsid w:val="004463B9"/>
    <w:rsid w:val="00447233"/>
    <w:rsid w:val="00481FD3"/>
    <w:rsid w:val="00482B9D"/>
    <w:rsid w:val="004866E7"/>
    <w:rsid w:val="004A281A"/>
    <w:rsid w:val="004A4585"/>
    <w:rsid w:val="004A4A33"/>
    <w:rsid w:val="004B3278"/>
    <w:rsid w:val="004B5DCB"/>
    <w:rsid w:val="004C5BC1"/>
    <w:rsid w:val="004D509E"/>
    <w:rsid w:val="004D66D1"/>
    <w:rsid w:val="004E05E4"/>
    <w:rsid w:val="004E64E4"/>
    <w:rsid w:val="0051060B"/>
    <w:rsid w:val="0051470C"/>
    <w:rsid w:val="0051618E"/>
    <w:rsid w:val="00525BA2"/>
    <w:rsid w:val="00544BB9"/>
    <w:rsid w:val="00547999"/>
    <w:rsid w:val="00554369"/>
    <w:rsid w:val="00555905"/>
    <w:rsid w:val="0056283B"/>
    <w:rsid w:val="00572CBA"/>
    <w:rsid w:val="005817C7"/>
    <w:rsid w:val="00583D0E"/>
    <w:rsid w:val="00584BC8"/>
    <w:rsid w:val="005858AC"/>
    <w:rsid w:val="00587043"/>
    <w:rsid w:val="005927C6"/>
    <w:rsid w:val="005B05AF"/>
    <w:rsid w:val="005C7D40"/>
    <w:rsid w:val="005E24ED"/>
    <w:rsid w:val="005E7E0D"/>
    <w:rsid w:val="00603904"/>
    <w:rsid w:val="006170A1"/>
    <w:rsid w:val="00624C83"/>
    <w:rsid w:val="006255D3"/>
    <w:rsid w:val="00625D87"/>
    <w:rsid w:val="00635FDF"/>
    <w:rsid w:val="00643373"/>
    <w:rsid w:val="00652005"/>
    <w:rsid w:val="006558CC"/>
    <w:rsid w:val="00655E41"/>
    <w:rsid w:val="0066400D"/>
    <w:rsid w:val="006674AB"/>
    <w:rsid w:val="00681F65"/>
    <w:rsid w:val="00686C6F"/>
    <w:rsid w:val="0069568E"/>
    <w:rsid w:val="00696AAE"/>
    <w:rsid w:val="006A28A2"/>
    <w:rsid w:val="006B065D"/>
    <w:rsid w:val="006C2B3A"/>
    <w:rsid w:val="006C392E"/>
    <w:rsid w:val="006E62EF"/>
    <w:rsid w:val="006F2944"/>
    <w:rsid w:val="007036CE"/>
    <w:rsid w:val="00707838"/>
    <w:rsid w:val="0071217E"/>
    <w:rsid w:val="0071436E"/>
    <w:rsid w:val="00722BB0"/>
    <w:rsid w:val="00722BDF"/>
    <w:rsid w:val="00735D6A"/>
    <w:rsid w:val="00736439"/>
    <w:rsid w:val="00736801"/>
    <w:rsid w:val="007418F0"/>
    <w:rsid w:val="00762B66"/>
    <w:rsid w:val="007704B9"/>
    <w:rsid w:val="007762F7"/>
    <w:rsid w:val="007877B6"/>
    <w:rsid w:val="007877BF"/>
    <w:rsid w:val="00793069"/>
    <w:rsid w:val="007A2E91"/>
    <w:rsid w:val="007B3DDF"/>
    <w:rsid w:val="007B75C4"/>
    <w:rsid w:val="007D2491"/>
    <w:rsid w:val="007D638A"/>
    <w:rsid w:val="007E567F"/>
    <w:rsid w:val="007F0093"/>
    <w:rsid w:val="007F40CC"/>
    <w:rsid w:val="00801ECD"/>
    <w:rsid w:val="008115C3"/>
    <w:rsid w:val="00821C2D"/>
    <w:rsid w:val="00823DEF"/>
    <w:rsid w:val="00825491"/>
    <w:rsid w:val="00833757"/>
    <w:rsid w:val="00845A13"/>
    <w:rsid w:val="00856A00"/>
    <w:rsid w:val="00864B9E"/>
    <w:rsid w:val="00882AB3"/>
    <w:rsid w:val="0088698A"/>
    <w:rsid w:val="0089098C"/>
    <w:rsid w:val="008B4166"/>
    <w:rsid w:val="008B7AFF"/>
    <w:rsid w:val="008C3A49"/>
    <w:rsid w:val="008D62AC"/>
    <w:rsid w:val="008E34A8"/>
    <w:rsid w:val="008E4823"/>
    <w:rsid w:val="008F1A69"/>
    <w:rsid w:val="008F211C"/>
    <w:rsid w:val="008F332E"/>
    <w:rsid w:val="008F5EEA"/>
    <w:rsid w:val="008F6F61"/>
    <w:rsid w:val="00900E52"/>
    <w:rsid w:val="009153EA"/>
    <w:rsid w:val="009231BE"/>
    <w:rsid w:val="00926E66"/>
    <w:rsid w:val="00935FBF"/>
    <w:rsid w:val="00937068"/>
    <w:rsid w:val="00951595"/>
    <w:rsid w:val="00953B21"/>
    <w:rsid w:val="00957066"/>
    <w:rsid w:val="00983BD8"/>
    <w:rsid w:val="00985511"/>
    <w:rsid w:val="00997ACF"/>
    <w:rsid w:val="009A0587"/>
    <w:rsid w:val="009A7C38"/>
    <w:rsid w:val="009B0F42"/>
    <w:rsid w:val="009C67C1"/>
    <w:rsid w:val="009C7E59"/>
    <w:rsid w:val="009E35BD"/>
    <w:rsid w:val="009F66D6"/>
    <w:rsid w:val="00A0782A"/>
    <w:rsid w:val="00A10E80"/>
    <w:rsid w:val="00A1103F"/>
    <w:rsid w:val="00A13171"/>
    <w:rsid w:val="00A141D1"/>
    <w:rsid w:val="00A149C3"/>
    <w:rsid w:val="00A2258E"/>
    <w:rsid w:val="00A246B0"/>
    <w:rsid w:val="00A24A5C"/>
    <w:rsid w:val="00A32E29"/>
    <w:rsid w:val="00A37656"/>
    <w:rsid w:val="00A77D24"/>
    <w:rsid w:val="00A81CA2"/>
    <w:rsid w:val="00A8633E"/>
    <w:rsid w:val="00A96CBC"/>
    <w:rsid w:val="00AD14C5"/>
    <w:rsid w:val="00AF2B63"/>
    <w:rsid w:val="00AF3DBA"/>
    <w:rsid w:val="00B0332D"/>
    <w:rsid w:val="00B112A3"/>
    <w:rsid w:val="00B272BE"/>
    <w:rsid w:val="00B30B4A"/>
    <w:rsid w:val="00B36DF5"/>
    <w:rsid w:val="00B5253C"/>
    <w:rsid w:val="00B6340C"/>
    <w:rsid w:val="00B93CAA"/>
    <w:rsid w:val="00BA1FA8"/>
    <w:rsid w:val="00BB4C32"/>
    <w:rsid w:val="00BB60BB"/>
    <w:rsid w:val="00BB6392"/>
    <w:rsid w:val="00BB651D"/>
    <w:rsid w:val="00BD2ED1"/>
    <w:rsid w:val="00BD6282"/>
    <w:rsid w:val="00BF6E26"/>
    <w:rsid w:val="00C20C2C"/>
    <w:rsid w:val="00C236E7"/>
    <w:rsid w:val="00C26FC1"/>
    <w:rsid w:val="00C278DE"/>
    <w:rsid w:val="00C3035D"/>
    <w:rsid w:val="00C41101"/>
    <w:rsid w:val="00C539AD"/>
    <w:rsid w:val="00C619DF"/>
    <w:rsid w:val="00C62D24"/>
    <w:rsid w:val="00C7236E"/>
    <w:rsid w:val="00C74551"/>
    <w:rsid w:val="00C819FE"/>
    <w:rsid w:val="00C854BB"/>
    <w:rsid w:val="00C94A8E"/>
    <w:rsid w:val="00C95608"/>
    <w:rsid w:val="00C956C4"/>
    <w:rsid w:val="00C9692B"/>
    <w:rsid w:val="00CB478F"/>
    <w:rsid w:val="00CC515D"/>
    <w:rsid w:val="00CC5897"/>
    <w:rsid w:val="00CD6071"/>
    <w:rsid w:val="00CD7B6E"/>
    <w:rsid w:val="00CF6995"/>
    <w:rsid w:val="00D366B6"/>
    <w:rsid w:val="00D40C3A"/>
    <w:rsid w:val="00D4286D"/>
    <w:rsid w:val="00D446A0"/>
    <w:rsid w:val="00D45968"/>
    <w:rsid w:val="00D572E5"/>
    <w:rsid w:val="00D61C2E"/>
    <w:rsid w:val="00D674BC"/>
    <w:rsid w:val="00D70348"/>
    <w:rsid w:val="00D82FD9"/>
    <w:rsid w:val="00D836BC"/>
    <w:rsid w:val="00D937D1"/>
    <w:rsid w:val="00D97EFD"/>
    <w:rsid w:val="00DA58E1"/>
    <w:rsid w:val="00DB4F91"/>
    <w:rsid w:val="00DB729F"/>
    <w:rsid w:val="00DC38B9"/>
    <w:rsid w:val="00DE1852"/>
    <w:rsid w:val="00DE24A1"/>
    <w:rsid w:val="00DF2BE0"/>
    <w:rsid w:val="00DF611E"/>
    <w:rsid w:val="00DF68FE"/>
    <w:rsid w:val="00DF73FC"/>
    <w:rsid w:val="00E07BF6"/>
    <w:rsid w:val="00E1132C"/>
    <w:rsid w:val="00E37E98"/>
    <w:rsid w:val="00E4006E"/>
    <w:rsid w:val="00E40964"/>
    <w:rsid w:val="00E47C51"/>
    <w:rsid w:val="00E630E4"/>
    <w:rsid w:val="00EA3AEA"/>
    <w:rsid w:val="00EA4381"/>
    <w:rsid w:val="00EA78B8"/>
    <w:rsid w:val="00EB627A"/>
    <w:rsid w:val="00EB6805"/>
    <w:rsid w:val="00EB6DF6"/>
    <w:rsid w:val="00ED17C3"/>
    <w:rsid w:val="00ED2B1E"/>
    <w:rsid w:val="00ED72B0"/>
    <w:rsid w:val="00ED7618"/>
    <w:rsid w:val="00EE1B51"/>
    <w:rsid w:val="00EE247C"/>
    <w:rsid w:val="00EE3182"/>
    <w:rsid w:val="00EE6999"/>
    <w:rsid w:val="00EE785B"/>
    <w:rsid w:val="00EF2AF5"/>
    <w:rsid w:val="00F105E0"/>
    <w:rsid w:val="00F12B7F"/>
    <w:rsid w:val="00F1464A"/>
    <w:rsid w:val="00F152CA"/>
    <w:rsid w:val="00F3023E"/>
    <w:rsid w:val="00F368EB"/>
    <w:rsid w:val="00F36EF8"/>
    <w:rsid w:val="00F4494E"/>
    <w:rsid w:val="00F50695"/>
    <w:rsid w:val="00F60D37"/>
    <w:rsid w:val="00F665E6"/>
    <w:rsid w:val="00F7467B"/>
    <w:rsid w:val="00F979D3"/>
    <w:rsid w:val="00FA0011"/>
    <w:rsid w:val="00FA105E"/>
    <w:rsid w:val="00FA29EB"/>
    <w:rsid w:val="00FA3AE3"/>
    <w:rsid w:val="00FA6D75"/>
    <w:rsid w:val="00FB2F41"/>
    <w:rsid w:val="00FB54DE"/>
    <w:rsid w:val="00FC17C7"/>
    <w:rsid w:val="00FC23FB"/>
    <w:rsid w:val="00FC2C1F"/>
    <w:rsid w:val="00FC449F"/>
    <w:rsid w:val="00FC7B39"/>
    <w:rsid w:val="00FD6A5B"/>
    <w:rsid w:val="00FE078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AB5-D421-4745-9E91-98E7BF4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3882</Words>
  <Characters>21676</Characters>
  <Application>Microsoft Office Word</Application>
  <DocSecurity>4</DocSecurity>
  <Lines>180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2</cp:revision>
  <cp:lastPrinted>2022-05-02T16:08:00Z</cp:lastPrinted>
  <dcterms:created xsi:type="dcterms:W3CDTF">2022-05-09T09:40:00Z</dcterms:created>
  <dcterms:modified xsi:type="dcterms:W3CDTF">2022-05-09T09:40:00Z</dcterms:modified>
</cp:coreProperties>
</file>