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Y="613"/>
        <w:tblOverlap w:val="never"/>
        <w:tblW w:w="8891" w:type="dxa"/>
        <w:tblLook w:val="04A0" w:firstRow="1" w:lastRow="0" w:firstColumn="1" w:lastColumn="0" w:noHBand="0" w:noVBand="1"/>
      </w:tblPr>
      <w:tblGrid>
        <w:gridCol w:w="6306"/>
        <w:gridCol w:w="2585"/>
      </w:tblGrid>
      <w:tr w:rsidR="002A5BA3" w14:paraId="00BB17D7" w14:textId="77777777" w:rsidTr="005F7808">
        <w:trPr>
          <w:cantSplit/>
          <w:trHeight w:val="270"/>
        </w:trPr>
        <w:tc>
          <w:tcPr>
            <w:tcW w:w="6306" w:type="dxa"/>
            <w:shd w:val="clear" w:color="auto" w:fill="auto"/>
          </w:tcPr>
          <w:p w14:paraId="03831579" w14:textId="77777777" w:rsidR="002A5BA3" w:rsidRPr="005A5FF0" w:rsidRDefault="002A5BA3" w:rsidP="005F7808">
            <w:pPr>
              <w:pStyle w:val="ZhlavGM"/>
              <w:spacing w:line="276" w:lineRule="auto"/>
            </w:pPr>
            <w:r w:rsidRPr="005A5FF0">
              <w:t>HLAVNÍ MĚSTO PRAHA</w:t>
            </w:r>
          </w:p>
          <w:p w14:paraId="56DB7994" w14:textId="77777777" w:rsidR="002A5BA3" w:rsidRDefault="002A5BA3" w:rsidP="005F7808">
            <w:pPr>
              <w:pStyle w:val="ZhlavGM"/>
              <w:spacing w:line="276" w:lineRule="auto"/>
              <w:rPr>
                <w:spacing w:val="2"/>
              </w:rPr>
            </w:pPr>
            <w:r>
              <w:rPr>
                <w:spacing w:val="2"/>
              </w:rPr>
              <w:t>MAGISTRÁT HLAVNÍHO MĚSTA PRAHY</w:t>
            </w:r>
          </w:p>
          <w:p w14:paraId="3CD40C91" w14:textId="77777777" w:rsidR="002A5BA3" w:rsidRDefault="002A5BA3" w:rsidP="005F7808">
            <w:pPr>
              <w:pStyle w:val="ZhlavGM"/>
              <w:spacing w:line="276" w:lineRule="auto"/>
              <w:rPr>
                <w:spacing w:val="2"/>
              </w:rPr>
            </w:pPr>
            <w:r>
              <w:rPr>
                <w:spacing w:val="2"/>
              </w:rPr>
              <w:t xml:space="preserve">Komise Rady hl. m. Prahy pro udělování grantů </w:t>
            </w:r>
          </w:p>
          <w:p w14:paraId="2DF2DC6F" w14:textId="77777777" w:rsidR="002A5BA3" w:rsidRDefault="002A5BA3" w:rsidP="005F7808">
            <w:pPr>
              <w:pStyle w:val="ZhlavGM"/>
              <w:spacing w:line="276" w:lineRule="auto"/>
              <w:rPr>
                <w:spacing w:val="2"/>
              </w:rPr>
            </w:pPr>
            <w:r>
              <w:rPr>
                <w:spacing w:val="2"/>
              </w:rPr>
              <w:t>v oblasti kultury a umění</w:t>
            </w:r>
          </w:p>
          <w:p w14:paraId="58FF6C48" w14:textId="77777777" w:rsidR="002A5BA3" w:rsidRPr="005A5FF0" w:rsidRDefault="002A5BA3" w:rsidP="005F7808">
            <w:pPr>
              <w:pStyle w:val="ZhlavGM"/>
              <w:spacing w:line="276" w:lineRule="auto"/>
            </w:pPr>
          </w:p>
        </w:tc>
        <w:tc>
          <w:tcPr>
            <w:tcW w:w="2585" w:type="dxa"/>
            <w:shd w:val="clear" w:color="auto" w:fill="auto"/>
          </w:tcPr>
          <w:p w14:paraId="59E9FDD1" w14:textId="77777777" w:rsidR="002A5BA3" w:rsidRPr="00535EF4" w:rsidRDefault="002A5BA3" w:rsidP="005F7808">
            <w:pPr>
              <w:pStyle w:val="PID2"/>
              <w:framePr w:hSpace="0" w:wrap="auto" w:vAnchor="margin" w:hAnchor="text" w:xAlign="left" w:yAlign="inline"/>
              <w:spacing w:line="276" w:lineRule="auto"/>
              <w:suppressOverlap w:val="0"/>
              <w:rPr>
                <w:rFonts w:cs="Times New Roman"/>
                <w:szCs w:val="22"/>
              </w:rPr>
            </w:pPr>
          </w:p>
        </w:tc>
      </w:tr>
    </w:tbl>
    <w:p w14:paraId="248E4F93" w14:textId="77777777" w:rsidR="002A5BA3" w:rsidRDefault="002A5BA3" w:rsidP="002A5BA3">
      <w:pPr>
        <w:pStyle w:val="Zkladntext"/>
        <w:spacing w:line="276" w:lineRule="auto"/>
        <w:jc w:val="center"/>
        <w:rPr>
          <w:bCs w:val="0"/>
        </w:rPr>
      </w:pPr>
    </w:p>
    <w:p w14:paraId="028F8449" w14:textId="77777777" w:rsidR="002A5BA3" w:rsidRDefault="002A5BA3" w:rsidP="002A5BA3">
      <w:pPr>
        <w:pStyle w:val="Zkladntext"/>
        <w:spacing w:line="276" w:lineRule="auto"/>
        <w:jc w:val="center"/>
        <w:rPr>
          <w:bCs w:val="0"/>
        </w:rPr>
      </w:pPr>
      <w:r>
        <w:rPr>
          <w:bCs w:val="0"/>
        </w:rPr>
        <w:t>Zápis z prvního </w:t>
      </w:r>
      <w:r w:rsidRPr="007C13F3">
        <w:rPr>
          <w:bCs w:val="0"/>
        </w:rPr>
        <w:t>jednání Komise Rady hl</w:t>
      </w:r>
      <w:r>
        <w:rPr>
          <w:bCs w:val="0"/>
        </w:rPr>
        <w:t>.</w:t>
      </w:r>
      <w:r w:rsidRPr="007C13F3">
        <w:rPr>
          <w:bCs w:val="0"/>
        </w:rPr>
        <w:t xml:space="preserve"> m. Pr</w:t>
      </w:r>
      <w:r>
        <w:rPr>
          <w:bCs w:val="0"/>
        </w:rPr>
        <w:t xml:space="preserve">ahy </w:t>
      </w:r>
    </w:p>
    <w:p w14:paraId="56D2A73E" w14:textId="77777777" w:rsidR="002A5BA3" w:rsidRPr="007C13F3" w:rsidRDefault="002A5BA3" w:rsidP="002A5BA3">
      <w:pPr>
        <w:pStyle w:val="Zkladntext"/>
        <w:spacing w:line="276" w:lineRule="auto"/>
        <w:jc w:val="center"/>
        <w:rPr>
          <w:bCs w:val="0"/>
        </w:rPr>
      </w:pPr>
      <w:r>
        <w:rPr>
          <w:bCs w:val="0"/>
        </w:rPr>
        <w:t xml:space="preserve">pro udělování dotací </w:t>
      </w:r>
      <w:r w:rsidRPr="007C13F3">
        <w:rPr>
          <w:bCs w:val="0"/>
        </w:rPr>
        <w:t>v oblasti kultury a umění</w:t>
      </w:r>
    </w:p>
    <w:p w14:paraId="6A66D8FE" w14:textId="77777777" w:rsidR="002A5BA3" w:rsidRPr="007C13F3" w:rsidRDefault="002A5BA3" w:rsidP="002A5BA3">
      <w:pPr>
        <w:pStyle w:val="Zkladntext"/>
        <w:spacing w:line="276" w:lineRule="auto"/>
        <w:jc w:val="center"/>
        <w:rPr>
          <w:b w:val="0"/>
          <w:bCs w:val="0"/>
          <w:sz w:val="22"/>
          <w:szCs w:val="22"/>
        </w:rPr>
      </w:pPr>
    </w:p>
    <w:tbl>
      <w:tblPr>
        <w:tblStyle w:val="Mkatabulky"/>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279"/>
        <w:gridCol w:w="1749"/>
        <w:gridCol w:w="1848"/>
        <w:gridCol w:w="545"/>
        <w:gridCol w:w="1830"/>
        <w:gridCol w:w="1253"/>
      </w:tblGrid>
      <w:tr w:rsidR="002A5BA3" w:rsidRPr="004527C5" w14:paraId="70F2F9F5" w14:textId="77777777" w:rsidTr="005F7808">
        <w:tc>
          <w:tcPr>
            <w:tcW w:w="1183" w:type="dxa"/>
          </w:tcPr>
          <w:p w14:paraId="069F6ACF" w14:textId="77777777" w:rsidR="002A5BA3" w:rsidRPr="005F7808" w:rsidRDefault="002A5BA3" w:rsidP="005F7808">
            <w:pPr>
              <w:pStyle w:val="Zkladntext"/>
              <w:spacing w:line="276" w:lineRule="auto"/>
              <w:rPr>
                <w:bCs w:val="0"/>
                <w:sz w:val="22"/>
                <w:szCs w:val="22"/>
              </w:rPr>
            </w:pPr>
            <w:r w:rsidRPr="005F7808">
              <w:rPr>
                <w:bCs w:val="0"/>
                <w:sz w:val="22"/>
                <w:szCs w:val="22"/>
              </w:rPr>
              <w:t>Komise:</w:t>
            </w:r>
          </w:p>
        </w:tc>
        <w:tc>
          <w:tcPr>
            <w:tcW w:w="7321" w:type="dxa"/>
            <w:gridSpan w:val="5"/>
          </w:tcPr>
          <w:p w14:paraId="2CD13535" w14:textId="77777777" w:rsidR="002A5BA3" w:rsidRPr="005F7808" w:rsidRDefault="002A5BA3" w:rsidP="005F7808">
            <w:pPr>
              <w:pStyle w:val="Odstavec1bNoEnterB"/>
              <w:tabs>
                <w:tab w:val="clear" w:pos="720"/>
              </w:tabs>
              <w:spacing w:before="0" w:after="0" w:line="276" w:lineRule="auto"/>
              <w:ind w:left="0"/>
              <w:rPr>
                <w:rFonts w:ascii="Times New Roman" w:hAnsi="Times New Roman"/>
                <w:b/>
              </w:rPr>
            </w:pPr>
            <w:r w:rsidRPr="005F7808">
              <w:rPr>
                <w:rFonts w:ascii="Times New Roman" w:hAnsi="Times New Roman"/>
                <w:b/>
                <w:bCs/>
              </w:rPr>
              <w:t xml:space="preserve">Komise Rady hl. m. Prahy pro udělování dotací v oblasti kultury a umění </w:t>
            </w:r>
            <w:r w:rsidRPr="005F7808">
              <w:rPr>
                <w:rFonts w:ascii="Times New Roman" w:hAnsi="Times New Roman"/>
                <w:bCs/>
              </w:rPr>
              <w:t>(dále jen DK)</w:t>
            </w:r>
          </w:p>
        </w:tc>
      </w:tr>
      <w:tr w:rsidR="002A5BA3" w:rsidRPr="004527C5" w14:paraId="660366FF" w14:textId="77777777" w:rsidTr="005F7808">
        <w:tc>
          <w:tcPr>
            <w:tcW w:w="1183" w:type="dxa"/>
          </w:tcPr>
          <w:p w14:paraId="346C25B0" w14:textId="77777777" w:rsidR="002A5BA3" w:rsidRPr="005F7808" w:rsidRDefault="002A5BA3" w:rsidP="005F7808">
            <w:pPr>
              <w:pStyle w:val="Zkladntext"/>
              <w:spacing w:line="276" w:lineRule="auto"/>
              <w:rPr>
                <w:bCs w:val="0"/>
                <w:sz w:val="22"/>
                <w:szCs w:val="22"/>
              </w:rPr>
            </w:pPr>
            <w:r w:rsidRPr="005F7808">
              <w:rPr>
                <w:bCs w:val="0"/>
                <w:sz w:val="22"/>
                <w:szCs w:val="22"/>
              </w:rPr>
              <w:t>Téma:</w:t>
            </w:r>
          </w:p>
        </w:tc>
        <w:tc>
          <w:tcPr>
            <w:tcW w:w="7321" w:type="dxa"/>
            <w:gridSpan w:val="5"/>
          </w:tcPr>
          <w:p w14:paraId="33EEAA2E" w14:textId="77777777" w:rsidR="002A5BA3" w:rsidRPr="005F7808" w:rsidRDefault="002A5BA3" w:rsidP="005F7808">
            <w:pPr>
              <w:pStyle w:val="Odstavec1bNoEnterB"/>
              <w:tabs>
                <w:tab w:val="clear" w:pos="720"/>
              </w:tabs>
              <w:spacing w:before="0" w:after="0" w:line="276" w:lineRule="auto"/>
              <w:ind w:left="0"/>
              <w:rPr>
                <w:rFonts w:ascii="Times New Roman" w:hAnsi="Times New Roman"/>
                <w:b/>
                <w:bCs/>
              </w:rPr>
            </w:pPr>
            <w:r w:rsidRPr="005F7808">
              <w:rPr>
                <w:rFonts w:ascii="Times New Roman" w:hAnsi="Times New Roman"/>
                <w:b/>
                <w:bCs/>
              </w:rPr>
              <w:t>Program podpory v oblasti kultury a umění pro jednoleté dotace pro rok 202</w:t>
            </w:r>
            <w:r w:rsidRPr="00C70A52">
              <w:rPr>
                <w:rFonts w:ascii="Times New Roman" w:hAnsi="Times New Roman"/>
                <w:b/>
                <w:bCs/>
              </w:rPr>
              <w:t>3</w:t>
            </w:r>
            <w:r w:rsidRPr="005F7808">
              <w:rPr>
                <w:rFonts w:ascii="Times New Roman" w:hAnsi="Times New Roman"/>
                <w:b/>
                <w:bCs/>
              </w:rPr>
              <w:t xml:space="preserve"> a pro víceleté dotace na léta </w:t>
            </w:r>
            <w:proofErr w:type="gramStart"/>
            <w:r w:rsidRPr="005F7808">
              <w:rPr>
                <w:rFonts w:ascii="Times New Roman" w:hAnsi="Times New Roman"/>
                <w:b/>
                <w:bCs/>
              </w:rPr>
              <w:t>202</w:t>
            </w:r>
            <w:r w:rsidRPr="00C70A52">
              <w:rPr>
                <w:rFonts w:ascii="Times New Roman" w:hAnsi="Times New Roman"/>
                <w:b/>
                <w:bCs/>
              </w:rPr>
              <w:t>4</w:t>
            </w:r>
            <w:r w:rsidRPr="005F7808">
              <w:rPr>
                <w:rFonts w:ascii="Times New Roman" w:hAnsi="Times New Roman"/>
                <w:b/>
                <w:bCs/>
              </w:rPr>
              <w:t xml:space="preserve"> – 202</w:t>
            </w:r>
            <w:r w:rsidRPr="00C70A52">
              <w:rPr>
                <w:rFonts w:ascii="Times New Roman" w:hAnsi="Times New Roman"/>
                <w:b/>
                <w:bCs/>
              </w:rPr>
              <w:t>7</w:t>
            </w:r>
            <w:proofErr w:type="gramEnd"/>
            <w:r w:rsidRPr="005F7808">
              <w:rPr>
                <w:rFonts w:ascii="Times New Roman" w:hAnsi="Times New Roman"/>
                <w:b/>
                <w:bCs/>
              </w:rPr>
              <w:t xml:space="preserve"> </w:t>
            </w:r>
            <w:r w:rsidRPr="005F7808">
              <w:rPr>
                <w:rFonts w:ascii="Times New Roman" w:hAnsi="Times New Roman"/>
                <w:bCs/>
              </w:rPr>
              <w:t>(dále jen PP KUC)</w:t>
            </w:r>
          </w:p>
        </w:tc>
      </w:tr>
      <w:tr w:rsidR="002A5BA3" w:rsidRPr="004527C5" w14:paraId="0DCA1BFD" w14:textId="77777777" w:rsidTr="005F7808">
        <w:tc>
          <w:tcPr>
            <w:tcW w:w="1183" w:type="dxa"/>
          </w:tcPr>
          <w:p w14:paraId="2B933EFF" w14:textId="77777777" w:rsidR="002A5BA3" w:rsidRPr="005F7808" w:rsidRDefault="002A5BA3" w:rsidP="005F7808">
            <w:pPr>
              <w:pStyle w:val="Zkladntext"/>
              <w:spacing w:line="276" w:lineRule="auto"/>
              <w:rPr>
                <w:bCs w:val="0"/>
                <w:sz w:val="22"/>
                <w:szCs w:val="22"/>
              </w:rPr>
            </w:pPr>
            <w:r w:rsidRPr="005F7808">
              <w:rPr>
                <w:bCs w:val="0"/>
                <w:sz w:val="22"/>
                <w:szCs w:val="22"/>
              </w:rPr>
              <w:t xml:space="preserve">Termín a místo jednání: </w:t>
            </w:r>
          </w:p>
        </w:tc>
        <w:tc>
          <w:tcPr>
            <w:tcW w:w="7321" w:type="dxa"/>
            <w:gridSpan w:val="5"/>
          </w:tcPr>
          <w:p w14:paraId="4AE487DD" w14:textId="77777777" w:rsidR="002A5BA3" w:rsidRPr="005F7808" w:rsidRDefault="002A5BA3" w:rsidP="005F7808">
            <w:pPr>
              <w:pStyle w:val="Odstavec1bNoEnterB"/>
              <w:tabs>
                <w:tab w:val="clear" w:pos="720"/>
              </w:tabs>
              <w:spacing w:before="0" w:after="0" w:line="276" w:lineRule="auto"/>
              <w:ind w:left="0"/>
              <w:rPr>
                <w:rFonts w:ascii="Times New Roman" w:hAnsi="Times New Roman"/>
                <w:bCs/>
              </w:rPr>
            </w:pPr>
          </w:p>
          <w:p w14:paraId="3C3D1136" w14:textId="77777777" w:rsidR="002A5BA3" w:rsidRPr="005F7808" w:rsidRDefault="002A5BA3" w:rsidP="005F7808">
            <w:pPr>
              <w:pStyle w:val="Odstavec1bNoEnterB"/>
              <w:tabs>
                <w:tab w:val="clear" w:pos="720"/>
              </w:tabs>
              <w:spacing w:before="0" w:after="0" w:line="276" w:lineRule="auto"/>
              <w:ind w:left="0"/>
              <w:rPr>
                <w:rFonts w:ascii="Times New Roman" w:hAnsi="Times New Roman"/>
              </w:rPr>
            </w:pPr>
            <w:r w:rsidRPr="005F7808">
              <w:rPr>
                <w:rFonts w:ascii="Times New Roman" w:hAnsi="Times New Roman"/>
                <w:bCs/>
              </w:rPr>
              <w:t>2</w:t>
            </w:r>
            <w:r w:rsidRPr="00C70A52">
              <w:rPr>
                <w:rFonts w:ascii="Times New Roman" w:hAnsi="Times New Roman"/>
                <w:bCs/>
              </w:rPr>
              <w:t>1</w:t>
            </w:r>
            <w:r w:rsidRPr="005F7808">
              <w:rPr>
                <w:rFonts w:ascii="Times New Roman" w:hAnsi="Times New Roman"/>
                <w:bCs/>
              </w:rPr>
              <w:t>. 6. 202</w:t>
            </w:r>
            <w:r w:rsidRPr="00C70A52">
              <w:rPr>
                <w:rFonts w:ascii="Times New Roman" w:hAnsi="Times New Roman"/>
                <w:bCs/>
              </w:rPr>
              <w:t>2</w:t>
            </w:r>
            <w:r w:rsidRPr="005F7808">
              <w:rPr>
                <w:rFonts w:ascii="Times New Roman" w:hAnsi="Times New Roman"/>
                <w:bCs/>
              </w:rPr>
              <w:t xml:space="preserve"> </w:t>
            </w:r>
            <w:r w:rsidRPr="00C70A52">
              <w:rPr>
                <w:rFonts w:ascii="Times New Roman" w:hAnsi="Times New Roman"/>
                <w:bCs/>
              </w:rPr>
              <w:t>ve 14</w:t>
            </w:r>
            <w:r w:rsidRPr="005F7808">
              <w:rPr>
                <w:rFonts w:ascii="Times New Roman" w:hAnsi="Times New Roman"/>
                <w:bCs/>
              </w:rPr>
              <w:t xml:space="preserve">:00 hod. </w:t>
            </w:r>
            <w:r w:rsidRPr="00C70A52">
              <w:rPr>
                <w:rFonts w:ascii="Times New Roman" w:hAnsi="Times New Roman"/>
                <w:bCs/>
              </w:rPr>
              <w:t>Zasedací místnost Nová Rada, 1. patro, Nová radnice, Mariánské nám. 2, Praha 1</w:t>
            </w:r>
          </w:p>
        </w:tc>
      </w:tr>
      <w:tr w:rsidR="002A5BA3" w:rsidRPr="004527C5" w14:paraId="0AA860CA" w14:textId="77777777" w:rsidTr="005F7808">
        <w:tc>
          <w:tcPr>
            <w:tcW w:w="1183" w:type="dxa"/>
          </w:tcPr>
          <w:p w14:paraId="1DA06472" w14:textId="77777777" w:rsidR="002A5BA3" w:rsidRPr="005F7808" w:rsidRDefault="002A5BA3" w:rsidP="005F7808">
            <w:pPr>
              <w:pStyle w:val="Zkladntext"/>
              <w:spacing w:line="276" w:lineRule="auto"/>
              <w:rPr>
                <w:bCs w:val="0"/>
                <w:sz w:val="22"/>
                <w:szCs w:val="22"/>
              </w:rPr>
            </w:pPr>
            <w:r w:rsidRPr="005F7808">
              <w:rPr>
                <w:bCs w:val="0"/>
                <w:sz w:val="22"/>
                <w:szCs w:val="22"/>
              </w:rPr>
              <w:t>Přítomni:</w:t>
            </w:r>
          </w:p>
          <w:p w14:paraId="2D3A3159" w14:textId="77777777" w:rsidR="002A5BA3" w:rsidRPr="005F7808" w:rsidRDefault="002A5BA3" w:rsidP="005F7808">
            <w:pPr>
              <w:pStyle w:val="Zkladntext"/>
              <w:spacing w:line="276" w:lineRule="auto"/>
              <w:rPr>
                <w:b w:val="0"/>
                <w:bCs w:val="0"/>
                <w:sz w:val="22"/>
                <w:szCs w:val="22"/>
              </w:rPr>
            </w:pPr>
            <w:r w:rsidRPr="005F7808">
              <w:rPr>
                <w:b w:val="0"/>
                <w:bCs w:val="0"/>
                <w:sz w:val="22"/>
                <w:szCs w:val="22"/>
              </w:rPr>
              <w:t>předseda:</w:t>
            </w:r>
          </w:p>
          <w:p w14:paraId="2C83E532" w14:textId="77777777" w:rsidR="002A5BA3" w:rsidRPr="005F7808" w:rsidRDefault="002A5BA3" w:rsidP="005F7808">
            <w:pPr>
              <w:pStyle w:val="Zkladntext"/>
              <w:spacing w:line="276" w:lineRule="auto"/>
              <w:rPr>
                <w:b w:val="0"/>
                <w:bCs w:val="0"/>
                <w:sz w:val="22"/>
                <w:szCs w:val="22"/>
              </w:rPr>
            </w:pPr>
            <w:r w:rsidRPr="005F7808">
              <w:rPr>
                <w:b w:val="0"/>
                <w:bCs w:val="0"/>
                <w:sz w:val="22"/>
                <w:szCs w:val="22"/>
              </w:rPr>
              <w:t>člen/členka:</w:t>
            </w:r>
          </w:p>
          <w:p w14:paraId="5AFC7C0A" w14:textId="77777777" w:rsidR="002A5BA3" w:rsidRPr="005F7808" w:rsidRDefault="002A5BA3" w:rsidP="005F7808">
            <w:pPr>
              <w:pStyle w:val="Zkladntext"/>
              <w:spacing w:line="276" w:lineRule="auto"/>
              <w:rPr>
                <w:b w:val="0"/>
                <w:bCs w:val="0"/>
                <w:sz w:val="22"/>
                <w:szCs w:val="22"/>
              </w:rPr>
            </w:pPr>
          </w:p>
          <w:p w14:paraId="232F7369" w14:textId="77777777" w:rsidR="002A5BA3" w:rsidRPr="005F7808" w:rsidRDefault="002A5BA3" w:rsidP="005F7808">
            <w:pPr>
              <w:pStyle w:val="Zkladntext"/>
              <w:spacing w:line="276" w:lineRule="auto"/>
              <w:rPr>
                <w:b w:val="0"/>
                <w:bCs w:val="0"/>
                <w:sz w:val="22"/>
                <w:szCs w:val="22"/>
              </w:rPr>
            </w:pPr>
          </w:p>
          <w:p w14:paraId="6E6B4C92" w14:textId="77777777" w:rsidR="002A5BA3" w:rsidRPr="005F7808" w:rsidRDefault="002A5BA3" w:rsidP="005F7808">
            <w:pPr>
              <w:pStyle w:val="Zkladntext"/>
              <w:spacing w:line="276" w:lineRule="auto"/>
              <w:rPr>
                <w:b w:val="0"/>
                <w:bCs w:val="0"/>
                <w:sz w:val="22"/>
                <w:szCs w:val="22"/>
              </w:rPr>
            </w:pPr>
          </w:p>
          <w:p w14:paraId="25657D8B" w14:textId="77777777" w:rsidR="002A5BA3" w:rsidRPr="005F7808" w:rsidRDefault="002A5BA3" w:rsidP="005F7808">
            <w:pPr>
              <w:pStyle w:val="Zkladntext"/>
              <w:spacing w:line="276" w:lineRule="auto"/>
              <w:rPr>
                <w:b w:val="0"/>
                <w:bCs w:val="0"/>
                <w:sz w:val="22"/>
                <w:szCs w:val="22"/>
              </w:rPr>
            </w:pPr>
            <w:r w:rsidRPr="005F7808">
              <w:rPr>
                <w:b w:val="0"/>
                <w:bCs w:val="0"/>
                <w:sz w:val="22"/>
                <w:szCs w:val="22"/>
              </w:rPr>
              <w:t>tajemnice:</w:t>
            </w:r>
          </w:p>
        </w:tc>
        <w:tc>
          <w:tcPr>
            <w:tcW w:w="7321" w:type="dxa"/>
            <w:gridSpan w:val="5"/>
          </w:tcPr>
          <w:p w14:paraId="418E04C1" w14:textId="77777777" w:rsidR="002A5BA3" w:rsidRPr="005F7808" w:rsidRDefault="002A5BA3" w:rsidP="005F7808">
            <w:pPr>
              <w:pStyle w:val="Odstavec1bNoEnterB"/>
              <w:tabs>
                <w:tab w:val="clear" w:pos="720"/>
              </w:tabs>
              <w:spacing w:before="0" w:after="0" w:line="276" w:lineRule="auto"/>
              <w:ind w:left="0"/>
              <w:rPr>
                <w:rFonts w:ascii="Times New Roman" w:hAnsi="Times New Roman"/>
              </w:rPr>
            </w:pPr>
          </w:p>
          <w:p w14:paraId="00592FFE" w14:textId="77777777" w:rsidR="002A5BA3" w:rsidRPr="005F7808" w:rsidRDefault="002A5BA3" w:rsidP="005F7808">
            <w:pPr>
              <w:pStyle w:val="Odstavec1bNoEnterB"/>
              <w:tabs>
                <w:tab w:val="clear" w:pos="720"/>
              </w:tabs>
              <w:spacing w:before="0" w:after="0" w:line="276" w:lineRule="auto"/>
              <w:ind w:left="0"/>
              <w:rPr>
                <w:rFonts w:ascii="Times New Roman" w:hAnsi="Times New Roman"/>
              </w:rPr>
            </w:pPr>
            <w:r w:rsidRPr="005F7808">
              <w:rPr>
                <w:rFonts w:ascii="Times New Roman" w:hAnsi="Times New Roman"/>
              </w:rPr>
              <w:t xml:space="preserve">Mgr. Martin Benda </w:t>
            </w:r>
          </w:p>
          <w:p w14:paraId="7892C882" w14:textId="77777777" w:rsidR="002A5BA3" w:rsidRPr="005F7808" w:rsidRDefault="002A5BA3" w:rsidP="005F7808">
            <w:pPr>
              <w:pStyle w:val="Odstavec1bNoEnterB"/>
              <w:tabs>
                <w:tab w:val="clear" w:pos="720"/>
              </w:tabs>
              <w:spacing w:before="0" w:after="0" w:line="276" w:lineRule="auto"/>
              <w:ind w:left="0"/>
              <w:rPr>
                <w:rFonts w:ascii="Times New Roman" w:hAnsi="Times New Roman"/>
                <w:color w:val="000000" w:themeColor="text1"/>
              </w:rPr>
            </w:pPr>
            <w:r w:rsidRPr="00C70A52">
              <w:rPr>
                <w:rFonts w:ascii="Times New Roman" w:hAnsi="Times New Roman"/>
                <w:color w:val="000000" w:themeColor="text1"/>
              </w:rPr>
              <w:t xml:space="preserve">MgA. Eva </w:t>
            </w:r>
            <w:proofErr w:type="spellStart"/>
            <w:r w:rsidRPr="00C70A52">
              <w:rPr>
                <w:rFonts w:ascii="Times New Roman" w:hAnsi="Times New Roman"/>
                <w:color w:val="000000" w:themeColor="text1"/>
              </w:rPr>
              <w:t>Kejkrtová</w:t>
            </w:r>
            <w:proofErr w:type="spellEnd"/>
            <w:r w:rsidRPr="00C70A52">
              <w:rPr>
                <w:rFonts w:ascii="Times New Roman" w:hAnsi="Times New Roman"/>
                <w:color w:val="000000" w:themeColor="text1"/>
              </w:rPr>
              <w:t xml:space="preserve"> Měřičková</w:t>
            </w:r>
            <w:r w:rsidRPr="005F7808">
              <w:rPr>
                <w:rFonts w:ascii="Times New Roman" w:hAnsi="Times New Roman"/>
                <w:color w:val="000000" w:themeColor="text1"/>
              </w:rPr>
              <w:t xml:space="preserve">, MgA. Michal Lázňovský, Ph.D., MgA. David Mareček, Ph.D., </w:t>
            </w:r>
            <w:r w:rsidRPr="00C70A52">
              <w:rPr>
                <w:rFonts w:ascii="Times New Roman" w:hAnsi="Times New Roman"/>
                <w:color w:val="000000" w:themeColor="text1"/>
              </w:rPr>
              <w:t xml:space="preserve">Mgr. </w:t>
            </w:r>
            <w:r w:rsidRPr="005F7808">
              <w:rPr>
                <w:rFonts w:ascii="Times New Roman" w:hAnsi="Times New Roman"/>
                <w:color w:val="000000" w:themeColor="text1"/>
              </w:rPr>
              <w:t xml:space="preserve">Milan Tesař, doc. MgA. Adam </w:t>
            </w:r>
            <w:proofErr w:type="spellStart"/>
            <w:r w:rsidRPr="005F7808">
              <w:rPr>
                <w:rFonts w:ascii="Times New Roman" w:hAnsi="Times New Roman"/>
                <w:color w:val="000000" w:themeColor="text1"/>
              </w:rPr>
              <w:t>Halaš</w:t>
            </w:r>
            <w:proofErr w:type="spellEnd"/>
            <w:r w:rsidRPr="005F7808">
              <w:rPr>
                <w:rFonts w:ascii="Times New Roman" w:hAnsi="Times New Roman"/>
                <w:color w:val="000000" w:themeColor="text1"/>
              </w:rPr>
              <w:t xml:space="preserve">, Ph.D., Mgr. Helena Musilová, Mgr. Tereza Stejskalová, Ph.D., PhDr. Jan Lukeš, Mgr. Marcela Turečková, </w:t>
            </w:r>
            <w:r w:rsidRPr="00C70A52">
              <w:rPr>
                <w:rFonts w:ascii="Times New Roman" w:hAnsi="Times New Roman"/>
                <w:color w:val="000000" w:themeColor="text1"/>
              </w:rPr>
              <w:t>Mgr. Vlastimil Ježek</w:t>
            </w:r>
          </w:p>
          <w:p w14:paraId="32232DFF" w14:textId="77777777" w:rsidR="002A5BA3" w:rsidRPr="005F7808" w:rsidRDefault="002A5BA3" w:rsidP="005F7808">
            <w:pPr>
              <w:pStyle w:val="Odstavec1bNoEnterB"/>
              <w:tabs>
                <w:tab w:val="clear" w:pos="720"/>
              </w:tabs>
              <w:spacing w:before="0" w:after="0" w:line="276" w:lineRule="auto"/>
              <w:ind w:left="0"/>
              <w:rPr>
                <w:rFonts w:ascii="Times New Roman" w:hAnsi="Times New Roman"/>
              </w:rPr>
            </w:pPr>
            <w:r w:rsidRPr="00C70A52">
              <w:rPr>
                <w:rFonts w:ascii="Times New Roman" w:hAnsi="Times New Roman"/>
              </w:rPr>
              <w:t>Tamara Hegerová, MgA. Kateřina Hakenová</w:t>
            </w:r>
          </w:p>
        </w:tc>
      </w:tr>
      <w:tr w:rsidR="002A5BA3" w:rsidRPr="004527C5" w14:paraId="33974BB2" w14:textId="77777777" w:rsidTr="005F7808">
        <w:tc>
          <w:tcPr>
            <w:tcW w:w="1183" w:type="dxa"/>
          </w:tcPr>
          <w:p w14:paraId="7895CDFE" w14:textId="77777777" w:rsidR="002A5BA3" w:rsidRPr="005F7808" w:rsidRDefault="002A5BA3" w:rsidP="005F7808">
            <w:pPr>
              <w:pStyle w:val="Zkladntext"/>
              <w:spacing w:line="276" w:lineRule="auto"/>
              <w:rPr>
                <w:bCs w:val="0"/>
                <w:sz w:val="22"/>
                <w:szCs w:val="22"/>
              </w:rPr>
            </w:pPr>
            <w:r w:rsidRPr="005F7808">
              <w:rPr>
                <w:bCs w:val="0"/>
                <w:sz w:val="22"/>
                <w:szCs w:val="22"/>
              </w:rPr>
              <w:t>Omluveni:</w:t>
            </w:r>
          </w:p>
          <w:p w14:paraId="260C7459" w14:textId="77777777" w:rsidR="002A5BA3" w:rsidRPr="005F7808" w:rsidRDefault="002A5BA3" w:rsidP="005F7808">
            <w:pPr>
              <w:pStyle w:val="Zkladntext"/>
              <w:spacing w:line="276" w:lineRule="auto"/>
              <w:rPr>
                <w:bCs w:val="0"/>
                <w:sz w:val="22"/>
                <w:szCs w:val="22"/>
              </w:rPr>
            </w:pPr>
            <w:r w:rsidRPr="005F7808">
              <w:rPr>
                <w:b w:val="0"/>
                <w:bCs w:val="0"/>
                <w:sz w:val="22"/>
                <w:szCs w:val="22"/>
              </w:rPr>
              <w:t>člen:</w:t>
            </w:r>
          </w:p>
        </w:tc>
        <w:tc>
          <w:tcPr>
            <w:tcW w:w="7321" w:type="dxa"/>
            <w:gridSpan w:val="5"/>
          </w:tcPr>
          <w:p w14:paraId="46D84389" w14:textId="77777777" w:rsidR="002A5BA3" w:rsidRPr="005F7808" w:rsidRDefault="002A5BA3" w:rsidP="005F7808">
            <w:pPr>
              <w:pStyle w:val="Odstavec1bNoEnterB"/>
              <w:tabs>
                <w:tab w:val="clear" w:pos="720"/>
              </w:tabs>
              <w:spacing w:before="0" w:after="0" w:line="276" w:lineRule="auto"/>
              <w:ind w:left="0"/>
              <w:rPr>
                <w:rFonts w:ascii="Times New Roman" w:hAnsi="Times New Roman"/>
              </w:rPr>
            </w:pPr>
          </w:p>
          <w:p w14:paraId="71A3CA5D" w14:textId="77777777" w:rsidR="002A5BA3" w:rsidRPr="005F7808" w:rsidRDefault="002A5BA3" w:rsidP="005F7808">
            <w:pPr>
              <w:pStyle w:val="Odstavec1bNoEnterB"/>
              <w:tabs>
                <w:tab w:val="clear" w:pos="720"/>
              </w:tabs>
              <w:spacing w:before="0" w:after="0" w:line="276" w:lineRule="auto"/>
              <w:ind w:left="0"/>
              <w:rPr>
                <w:rFonts w:ascii="Times New Roman" w:hAnsi="Times New Roman"/>
              </w:rPr>
            </w:pPr>
            <w:r w:rsidRPr="00C70A52">
              <w:rPr>
                <w:rFonts w:ascii="Times New Roman" w:hAnsi="Times New Roman"/>
                <w:color w:val="000000" w:themeColor="text1"/>
              </w:rPr>
              <w:t xml:space="preserve">doc. MgA. Ivo </w:t>
            </w:r>
            <w:proofErr w:type="spellStart"/>
            <w:r w:rsidRPr="00C70A52">
              <w:rPr>
                <w:rFonts w:ascii="Times New Roman" w:hAnsi="Times New Roman"/>
                <w:color w:val="000000" w:themeColor="text1"/>
              </w:rPr>
              <w:t>Mathé</w:t>
            </w:r>
            <w:proofErr w:type="spellEnd"/>
            <w:r w:rsidRPr="00C70A52">
              <w:rPr>
                <w:rFonts w:ascii="Times New Roman" w:hAnsi="Times New Roman"/>
                <w:color w:val="000000" w:themeColor="text1"/>
              </w:rPr>
              <w:t xml:space="preserve">, </w:t>
            </w:r>
            <w:r w:rsidRPr="005F7808">
              <w:rPr>
                <w:rFonts w:ascii="Times New Roman" w:hAnsi="Times New Roman"/>
                <w:color w:val="000000" w:themeColor="text1"/>
              </w:rPr>
              <w:t>MgA. Vratislav Šlajer</w:t>
            </w:r>
          </w:p>
        </w:tc>
      </w:tr>
      <w:tr w:rsidR="002A5BA3" w:rsidRPr="004527C5" w14:paraId="7CB46B53" w14:textId="77777777" w:rsidTr="005F7808">
        <w:tc>
          <w:tcPr>
            <w:tcW w:w="1183" w:type="dxa"/>
          </w:tcPr>
          <w:p w14:paraId="4E3FB385" w14:textId="77777777" w:rsidR="002A5BA3" w:rsidRPr="005F7808" w:rsidRDefault="002A5BA3" w:rsidP="005F7808">
            <w:pPr>
              <w:pStyle w:val="Zkladntext"/>
              <w:spacing w:line="276" w:lineRule="auto"/>
              <w:rPr>
                <w:b w:val="0"/>
                <w:bCs w:val="0"/>
                <w:sz w:val="22"/>
                <w:szCs w:val="22"/>
              </w:rPr>
            </w:pPr>
            <w:r w:rsidRPr="005F7808">
              <w:rPr>
                <w:b w:val="0"/>
                <w:sz w:val="22"/>
                <w:szCs w:val="22"/>
              </w:rPr>
              <w:t>On-line:</w:t>
            </w:r>
          </w:p>
          <w:p w14:paraId="7CD6D692" w14:textId="77777777" w:rsidR="002A5BA3" w:rsidRPr="005F7808" w:rsidRDefault="002A5BA3" w:rsidP="005F7808">
            <w:pPr>
              <w:pStyle w:val="Zkladntext"/>
              <w:spacing w:line="276" w:lineRule="auto"/>
              <w:rPr>
                <w:b w:val="0"/>
                <w:bCs w:val="0"/>
                <w:sz w:val="22"/>
                <w:szCs w:val="22"/>
              </w:rPr>
            </w:pPr>
            <w:r w:rsidRPr="005F7808">
              <w:rPr>
                <w:b w:val="0"/>
                <w:bCs w:val="0"/>
                <w:sz w:val="22"/>
                <w:szCs w:val="22"/>
              </w:rPr>
              <w:t>člen:</w:t>
            </w:r>
          </w:p>
        </w:tc>
        <w:tc>
          <w:tcPr>
            <w:tcW w:w="7321" w:type="dxa"/>
            <w:gridSpan w:val="5"/>
          </w:tcPr>
          <w:p w14:paraId="58F29666" w14:textId="77777777" w:rsidR="002A5BA3" w:rsidRPr="005F7808" w:rsidRDefault="002A5BA3" w:rsidP="005F7808">
            <w:pPr>
              <w:pStyle w:val="Zkladntext"/>
              <w:spacing w:line="276" w:lineRule="auto"/>
              <w:rPr>
                <w:b w:val="0"/>
                <w:bCs w:val="0"/>
                <w:sz w:val="22"/>
                <w:szCs w:val="22"/>
              </w:rPr>
            </w:pPr>
          </w:p>
          <w:p w14:paraId="6D80AE87" w14:textId="77777777" w:rsidR="002A5BA3" w:rsidRPr="002A5BA3" w:rsidRDefault="002A5BA3" w:rsidP="005F7808">
            <w:pPr>
              <w:pStyle w:val="Zkladntext"/>
              <w:jc w:val="both"/>
              <w:rPr>
                <w:b w:val="0"/>
                <w:bCs w:val="0"/>
                <w:sz w:val="22"/>
                <w:szCs w:val="22"/>
              </w:rPr>
            </w:pPr>
            <w:r w:rsidRPr="002A5BA3">
              <w:rPr>
                <w:b w:val="0"/>
                <w:bCs w:val="0"/>
                <w:color w:val="000000" w:themeColor="text1"/>
                <w:sz w:val="22"/>
                <w:szCs w:val="22"/>
              </w:rPr>
              <w:t xml:space="preserve">Mgr. MgA. Lucie Hayashi, Ph.D., </w:t>
            </w:r>
            <w:r w:rsidRPr="002A5BA3">
              <w:rPr>
                <w:b w:val="0"/>
                <w:bCs w:val="0"/>
                <w:sz w:val="22"/>
                <w:szCs w:val="22"/>
              </w:rPr>
              <w:t xml:space="preserve">Mgr. Petr </w:t>
            </w:r>
            <w:proofErr w:type="spellStart"/>
            <w:r w:rsidRPr="002A5BA3">
              <w:rPr>
                <w:b w:val="0"/>
                <w:bCs w:val="0"/>
                <w:sz w:val="22"/>
                <w:szCs w:val="22"/>
              </w:rPr>
              <w:t>Vizina</w:t>
            </w:r>
            <w:proofErr w:type="spellEnd"/>
            <w:r w:rsidRPr="002A5BA3">
              <w:rPr>
                <w:b w:val="0"/>
                <w:bCs w:val="0"/>
                <w:sz w:val="22"/>
                <w:szCs w:val="22"/>
              </w:rPr>
              <w:t>, Mgr. Mario Kubaš, Ph.D., Mgr. Veronika Bednářová, M. A.</w:t>
            </w:r>
          </w:p>
        </w:tc>
      </w:tr>
      <w:tr w:rsidR="002A5BA3" w:rsidRPr="004527C5" w14:paraId="048FC9B0" w14:textId="77777777" w:rsidTr="005F7808">
        <w:tc>
          <w:tcPr>
            <w:tcW w:w="1183" w:type="dxa"/>
          </w:tcPr>
          <w:p w14:paraId="308639C7" w14:textId="77777777" w:rsidR="002A5BA3" w:rsidRPr="005F7808" w:rsidRDefault="002A5BA3" w:rsidP="005F7808">
            <w:pPr>
              <w:pStyle w:val="Zkladntext"/>
              <w:spacing w:line="276" w:lineRule="auto"/>
              <w:rPr>
                <w:bCs w:val="0"/>
                <w:sz w:val="22"/>
                <w:szCs w:val="22"/>
              </w:rPr>
            </w:pPr>
            <w:r w:rsidRPr="005F7808">
              <w:rPr>
                <w:bCs w:val="0"/>
                <w:sz w:val="22"/>
                <w:szCs w:val="22"/>
              </w:rPr>
              <w:t>Hosté:</w:t>
            </w:r>
          </w:p>
        </w:tc>
        <w:tc>
          <w:tcPr>
            <w:tcW w:w="7321" w:type="dxa"/>
            <w:gridSpan w:val="5"/>
          </w:tcPr>
          <w:p w14:paraId="28634D0E" w14:textId="77777777" w:rsidR="002A5BA3" w:rsidRPr="005F7808" w:rsidRDefault="002A5BA3" w:rsidP="005F7808">
            <w:pPr>
              <w:pStyle w:val="Zkladntext"/>
              <w:spacing w:line="276" w:lineRule="auto"/>
              <w:rPr>
                <w:b w:val="0"/>
                <w:bCs w:val="0"/>
                <w:sz w:val="22"/>
                <w:szCs w:val="22"/>
              </w:rPr>
            </w:pPr>
            <w:r w:rsidRPr="005F7808">
              <w:rPr>
                <w:b w:val="0"/>
                <w:sz w:val="22"/>
                <w:szCs w:val="22"/>
              </w:rPr>
              <w:t xml:space="preserve">MgA. Jiří Sulženko, PhD., ředitel odboru kultury a cestovního ruchu Magistrátu hl. m. Prahy, </w:t>
            </w:r>
            <w:r w:rsidRPr="00C70A52">
              <w:rPr>
                <w:b w:val="0"/>
                <w:sz w:val="22"/>
                <w:szCs w:val="22"/>
              </w:rPr>
              <w:t>Linda Krajčovič Synková</w:t>
            </w:r>
            <w:r w:rsidRPr="005F7808">
              <w:rPr>
                <w:b w:val="0"/>
                <w:sz w:val="22"/>
                <w:szCs w:val="22"/>
              </w:rPr>
              <w:t>, Kreativní Praha</w:t>
            </w:r>
            <w:r w:rsidRPr="00C70A52">
              <w:rPr>
                <w:b w:val="0"/>
                <w:sz w:val="22"/>
                <w:szCs w:val="22"/>
              </w:rPr>
              <w:t xml:space="preserve">, z. </w:t>
            </w:r>
            <w:proofErr w:type="spellStart"/>
            <w:r w:rsidRPr="00C70A52">
              <w:rPr>
                <w:b w:val="0"/>
                <w:sz w:val="22"/>
                <w:szCs w:val="22"/>
              </w:rPr>
              <w:t>ú.</w:t>
            </w:r>
            <w:proofErr w:type="spellEnd"/>
          </w:p>
        </w:tc>
      </w:tr>
      <w:tr w:rsidR="002A5BA3" w:rsidRPr="004527C5" w14:paraId="135D4932" w14:textId="77777777" w:rsidTr="005F7808">
        <w:tc>
          <w:tcPr>
            <w:tcW w:w="1183" w:type="dxa"/>
          </w:tcPr>
          <w:p w14:paraId="1B390FE0" w14:textId="77777777" w:rsidR="002A5BA3" w:rsidRPr="005F7808" w:rsidRDefault="002A5BA3" w:rsidP="005F7808">
            <w:pPr>
              <w:pStyle w:val="Zkladntext"/>
              <w:spacing w:line="276" w:lineRule="auto"/>
              <w:rPr>
                <w:bCs w:val="0"/>
                <w:color w:val="FF0000"/>
                <w:sz w:val="22"/>
                <w:szCs w:val="22"/>
              </w:rPr>
            </w:pPr>
          </w:p>
        </w:tc>
        <w:tc>
          <w:tcPr>
            <w:tcW w:w="1794" w:type="dxa"/>
          </w:tcPr>
          <w:p w14:paraId="7722BAEB" w14:textId="77777777" w:rsidR="002A5BA3" w:rsidRPr="005F7808" w:rsidRDefault="002A5BA3" w:rsidP="005F7808">
            <w:pPr>
              <w:pStyle w:val="Zkladntext"/>
              <w:spacing w:line="276" w:lineRule="auto"/>
              <w:rPr>
                <w:b w:val="0"/>
                <w:color w:val="FF0000"/>
                <w:sz w:val="22"/>
                <w:szCs w:val="22"/>
              </w:rPr>
            </w:pPr>
          </w:p>
        </w:tc>
        <w:tc>
          <w:tcPr>
            <w:tcW w:w="1864" w:type="dxa"/>
          </w:tcPr>
          <w:p w14:paraId="0A69D292" w14:textId="77777777" w:rsidR="002A5BA3" w:rsidRPr="005F7808" w:rsidRDefault="002A5BA3" w:rsidP="005F7808">
            <w:pPr>
              <w:pStyle w:val="Zkladntext"/>
              <w:spacing w:line="276" w:lineRule="auto"/>
              <w:rPr>
                <w:b w:val="0"/>
                <w:color w:val="FF0000"/>
                <w:sz w:val="22"/>
                <w:szCs w:val="22"/>
              </w:rPr>
            </w:pPr>
            <w:r w:rsidRPr="005F7808">
              <w:rPr>
                <w:b w:val="0"/>
                <w:color w:val="000000" w:themeColor="text1"/>
                <w:sz w:val="22"/>
                <w:szCs w:val="22"/>
              </w:rPr>
              <w:t xml:space="preserve">Počet stran/příloh: </w:t>
            </w:r>
          </w:p>
        </w:tc>
        <w:tc>
          <w:tcPr>
            <w:tcW w:w="546" w:type="dxa"/>
          </w:tcPr>
          <w:p w14:paraId="18BFCEA2" w14:textId="48579527" w:rsidR="002A5BA3" w:rsidRPr="005F7808" w:rsidRDefault="002A5BA3" w:rsidP="005F7808">
            <w:pPr>
              <w:pStyle w:val="Zkladntext"/>
              <w:spacing w:line="276" w:lineRule="auto"/>
              <w:rPr>
                <w:b w:val="0"/>
                <w:color w:val="000000" w:themeColor="text1"/>
                <w:sz w:val="22"/>
                <w:szCs w:val="22"/>
              </w:rPr>
            </w:pPr>
            <w:r w:rsidRPr="00C70A52">
              <w:rPr>
                <w:b w:val="0"/>
                <w:color w:val="000000" w:themeColor="text1"/>
                <w:sz w:val="22"/>
                <w:szCs w:val="22"/>
              </w:rPr>
              <w:t>4</w:t>
            </w:r>
            <w:r w:rsidRPr="005F7808">
              <w:rPr>
                <w:b w:val="0"/>
                <w:color w:val="000000" w:themeColor="text1"/>
                <w:sz w:val="22"/>
                <w:szCs w:val="22"/>
              </w:rPr>
              <w:t>/</w:t>
            </w:r>
            <w:r>
              <w:rPr>
                <w:b w:val="0"/>
                <w:color w:val="000000" w:themeColor="text1"/>
                <w:sz w:val="22"/>
                <w:szCs w:val="22"/>
              </w:rPr>
              <w:t>3</w:t>
            </w:r>
          </w:p>
        </w:tc>
        <w:tc>
          <w:tcPr>
            <w:tcW w:w="1847" w:type="dxa"/>
          </w:tcPr>
          <w:p w14:paraId="1166DB0C" w14:textId="77777777" w:rsidR="002A5BA3" w:rsidRPr="005F7808" w:rsidRDefault="002A5BA3" w:rsidP="005F7808">
            <w:pPr>
              <w:pStyle w:val="Zkladntext"/>
              <w:spacing w:line="276" w:lineRule="auto"/>
              <w:rPr>
                <w:b w:val="0"/>
                <w:sz w:val="22"/>
                <w:szCs w:val="22"/>
              </w:rPr>
            </w:pPr>
            <w:r w:rsidRPr="005F7808">
              <w:rPr>
                <w:b w:val="0"/>
                <w:sz w:val="22"/>
                <w:szCs w:val="22"/>
              </w:rPr>
              <w:t>Datum zpracování:</w:t>
            </w:r>
          </w:p>
        </w:tc>
        <w:tc>
          <w:tcPr>
            <w:tcW w:w="1270" w:type="dxa"/>
          </w:tcPr>
          <w:p w14:paraId="31EE05B2" w14:textId="77777777" w:rsidR="002A5BA3" w:rsidRPr="005F7808" w:rsidRDefault="002A5BA3" w:rsidP="005F7808">
            <w:pPr>
              <w:pStyle w:val="Zkladntext"/>
              <w:spacing w:line="276" w:lineRule="auto"/>
              <w:rPr>
                <w:b w:val="0"/>
                <w:sz w:val="22"/>
                <w:szCs w:val="22"/>
              </w:rPr>
            </w:pPr>
            <w:r w:rsidRPr="00C70A52">
              <w:rPr>
                <w:b w:val="0"/>
                <w:sz w:val="22"/>
                <w:szCs w:val="22"/>
              </w:rPr>
              <w:t>27</w:t>
            </w:r>
            <w:r w:rsidRPr="005F7808">
              <w:rPr>
                <w:b w:val="0"/>
                <w:sz w:val="22"/>
                <w:szCs w:val="22"/>
              </w:rPr>
              <w:t xml:space="preserve">. </w:t>
            </w:r>
            <w:r w:rsidRPr="00C70A52">
              <w:rPr>
                <w:b w:val="0"/>
                <w:sz w:val="22"/>
                <w:szCs w:val="22"/>
              </w:rPr>
              <w:t>6</w:t>
            </w:r>
            <w:r w:rsidRPr="005F7808">
              <w:rPr>
                <w:b w:val="0"/>
                <w:sz w:val="22"/>
                <w:szCs w:val="22"/>
              </w:rPr>
              <w:t>. 202</w:t>
            </w:r>
            <w:r w:rsidRPr="00C70A52">
              <w:rPr>
                <w:b w:val="0"/>
                <w:sz w:val="22"/>
                <w:szCs w:val="22"/>
              </w:rPr>
              <w:t>2</w:t>
            </w:r>
          </w:p>
        </w:tc>
      </w:tr>
    </w:tbl>
    <w:p w14:paraId="7CCDBA3C" w14:textId="77777777" w:rsidR="002A5BA3" w:rsidRPr="00456CE3" w:rsidRDefault="002A5BA3" w:rsidP="002A5BA3">
      <w:pPr>
        <w:pStyle w:val="Zkladntext"/>
        <w:spacing w:line="276" w:lineRule="auto"/>
        <w:rPr>
          <w:b w:val="0"/>
          <w:bCs w:val="0"/>
          <w:color w:val="FF0000"/>
          <w:sz w:val="22"/>
          <w:szCs w:val="22"/>
        </w:rPr>
      </w:pPr>
    </w:p>
    <w:p w14:paraId="7B6E7D0A" w14:textId="77777777" w:rsidR="002A5BA3" w:rsidRPr="008544DD" w:rsidRDefault="002A5BA3" w:rsidP="002A5BA3">
      <w:pPr>
        <w:pStyle w:val="Zkladntext"/>
        <w:spacing w:line="276" w:lineRule="auto"/>
        <w:jc w:val="both"/>
        <w:rPr>
          <w:bCs w:val="0"/>
          <w:sz w:val="22"/>
          <w:szCs w:val="22"/>
        </w:rPr>
      </w:pPr>
      <w:r w:rsidRPr="008544DD">
        <w:rPr>
          <w:bCs w:val="0"/>
          <w:sz w:val="22"/>
          <w:szCs w:val="22"/>
        </w:rPr>
        <w:t>Body programu</w:t>
      </w:r>
    </w:p>
    <w:p w14:paraId="58BFE28A" w14:textId="77777777" w:rsidR="002A5BA3" w:rsidRDefault="002A5BA3" w:rsidP="002A5BA3">
      <w:pPr>
        <w:numPr>
          <w:ilvl w:val="0"/>
          <w:numId w:val="1"/>
        </w:numPr>
        <w:spacing w:line="276" w:lineRule="auto"/>
        <w:jc w:val="both"/>
        <w:rPr>
          <w:color w:val="000000"/>
        </w:rPr>
      </w:pPr>
      <w:r w:rsidRPr="008544DD">
        <w:rPr>
          <w:color w:val="000000"/>
        </w:rPr>
        <w:t>Úvod, organizační záležitosti</w:t>
      </w:r>
    </w:p>
    <w:p w14:paraId="5462B65A" w14:textId="77777777" w:rsidR="002A5BA3" w:rsidRDefault="002A5BA3" w:rsidP="002A5BA3">
      <w:pPr>
        <w:numPr>
          <w:ilvl w:val="0"/>
          <w:numId w:val="1"/>
        </w:numPr>
        <w:spacing w:line="276" w:lineRule="auto"/>
        <w:jc w:val="both"/>
        <w:rPr>
          <w:color w:val="000000"/>
        </w:rPr>
      </w:pPr>
      <w:r w:rsidRPr="008544DD">
        <w:rPr>
          <w:color w:val="000000"/>
        </w:rPr>
        <w:t>Focení</w:t>
      </w:r>
    </w:p>
    <w:p w14:paraId="69FA7BF3" w14:textId="77777777" w:rsidR="002A5BA3" w:rsidRDefault="002A5BA3" w:rsidP="002A5BA3">
      <w:pPr>
        <w:numPr>
          <w:ilvl w:val="0"/>
          <w:numId w:val="1"/>
        </w:numPr>
        <w:spacing w:line="276" w:lineRule="auto"/>
        <w:jc w:val="both"/>
        <w:rPr>
          <w:color w:val="000000"/>
        </w:rPr>
      </w:pPr>
      <w:r>
        <w:rPr>
          <w:color w:val="000000"/>
        </w:rPr>
        <w:t>Promítnutí principů Kulturní politiky 22+ do dotačního řízení</w:t>
      </w:r>
    </w:p>
    <w:p w14:paraId="497210A3" w14:textId="77777777" w:rsidR="002A5BA3" w:rsidRPr="00D53954" w:rsidRDefault="002A5BA3" w:rsidP="002A5BA3">
      <w:pPr>
        <w:numPr>
          <w:ilvl w:val="0"/>
          <w:numId w:val="1"/>
        </w:numPr>
        <w:spacing w:line="276" w:lineRule="auto"/>
        <w:jc w:val="both"/>
        <w:rPr>
          <w:color w:val="000000"/>
        </w:rPr>
      </w:pPr>
      <w:r w:rsidRPr="008544DD">
        <w:rPr>
          <w:color w:val="000000"/>
        </w:rPr>
        <w:t>Harmonogram dotačního řízení v roce 202</w:t>
      </w:r>
      <w:r>
        <w:rPr>
          <w:color w:val="000000"/>
        </w:rPr>
        <w:t>2</w:t>
      </w:r>
      <w:r w:rsidRPr="008544DD">
        <w:rPr>
          <w:color w:val="000000"/>
        </w:rPr>
        <w:t xml:space="preserve"> (dále jen „Harmonogram“)</w:t>
      </w:r>
    </w:p>
    <w:p w14:paraId="37F5249E" w14:textId="77777777" w:rsidR="002A5BA3" w:rsidRPr="008544DD" w:rsidRDefault="002A5BA3" w:rsidP="002A5BA3">
      <w:pPr>
        <w:numPr>
          <w:ilvl w:val="0"/>
          <w:numId w:val="1"/>
        </w:numPr>
        <w:spacing w:line="276" w:lineRule="auto"/>
        <w:jc w:val="both"/>
        <w:rPr>
          <w:color w:val="000000"/>
        </w:rPr>
      </w:pPr>
      <w:r w:rsidRPr="008544DD">
        <w:rPr>
          <w:color w:val="000000"/>
        </w:rPr>
        <w:t>Seznámení s</w:t>
      </w:r>
      <w:r>
        <w:rPr>
          <w:color w:val="000000"/>
        </w:rPr>
        <w:t xml:space="preserve"> novinkami v </w:t>
      </w:r>
      <w:r w:rsidRPr="008544DD">
        <w:rPr>
          <w:color w:val="000000"/>
        </w:rPr>
        <w:t>Program</w:t>
      </w:r>
      <w:r>
        <w:rPr>
          <w:color w:val="000000"/>
        </w:rPr>
        <w:t>u</w:t>
      </w:r>
      <w:r w:rsidRPr="008544DD">
        <w:rPr>
          <w:color w:val="000000"/>
        </w:rPr>
        <w:t xml:space="preserve"> podpory v oblasti kultury a umění pro jednoleté dotace v roce 202</w:t>
      </w:r>
      <w:r>
        <w:rPr>
          <w:color w:val="000000"/>
        </w:rPr>
        <w:t>3</w:t>
      </w:r>
      <w:r w:rsidRPr="008544DD">
        <w:rPr>
          <w:color w:val="000000"/>
        </w:rPr>
        <w:t xml:space="preserve"> a víceleté dotace na léta </w:t>
      </w:r>
      <w:proofErr w:type="gramStart"/>
      <w:r w:rsidRPr="008544DD">
        <w:rPr>
          <w:color w:val="000000"/>
        </w:rPr>
        <w:t>202</w:t>
      </w:r>
      <w:r>
        <w:rPr>
          <w:color w:val="000000"/>
        </w:rPr>
        <w:t>4</w:t>
      </w:r>
      <w:r w:rsidRPr="008544DD">
        <w:rPr>
          <w:color w:val="000000"/>
        </w:rPr>
        <w:t xml:space="preserve"> -202</w:t>
      </w:r>
      <w:r>
        <w:rPr>
          <w:color w:val="000000"/>
        </w:rPr>
        <w:t>7</w:t>
      </w:r>
      <w:proofErr w:type="gramEnd"/>
      <w:r w:rsidRPr="008544DD">
        <w:rPr>
          <w:color w:val="000000"/>
        </w:rPr>
        <w:t xml:space="preserve"> (dále jen „Program“)</w:t>
      </w:r>
    </w:p>
    <w:p w14:paraId="528A8E59" w14:textId="77777777" w:rsidR="002A5BA3" w:rsidRPr="008544DD" w:rsidRDefault="002A5BA3" w:rsidP="002A5BA3">
      <w:pPr>
        <w:numPr>
          <w:ilvl w:val="0"/>
          <w:numId w:val="1"/>
        </w:numPr>
        <w:spacing w:line="276" w:lineRule="auto"/>
        <w:jc w:val="both"/>
        <w:rPr>
          <w:color w:val="000000"/>
        </w:rPr>
      </w:pPr>
      <w:r>
        <w:rPr>
          <w:color w:val="000000"/>
        </w:rPr>
        <w:t>Seznam</w:t>
      </w:r>
      <w:r w:rsidRPr="008544DD">
        <w:rPr>
          <w:color w:val="000000"/>
        </w:rPr>
        <w:t xml:space="preserve"> externích hodnotitelů</w:t>
      </w:r>
    </w:p>
    <w:p w14:paraId="2883DB14" w14:textId="77777777" w:rsidR="002A5BA3" w:rsidRPr="008544DD" w:rsidRDefault="002A5BA3" w:rsidP="002A5BA3">
      <w:pPr>
        <w:numPr>
          <w:ilvl w:val="0"/>
          <w:numId w:val="1"/>
        </w:numPr>
        <w:spacing w:line="276" w:lineRule="auto"/>
        <w:jc w:val="both"/>
        <w:rPr>
          <w:color w:val="000000"/>
        </w:rPr>
      </w:pPr>
      <w:r w:rsidRPr="008544DD">
        <w:rPr>
          <w:color w:val="000000"/>
        </w:rPr>
        <w:t>Závěrečná disku</w:t>
      </w:r>
      <w:r>
        <w:rPr>
          <w:color w:val="000000"/>
        </w:rPr>
        <w:t>s</w:t>
      </w:r>
      <w:r w:rsidRPr="008544DD">
        <w:rPr>
          <w:color w:val="000000"/>
        </w:rPr>
        <w:t>e</w:t>
      </w:r>
    </w:p>
    <w:p w14:paraId="65785393" w14:textId="77777777" w:rsidR="002A5BA3" w:rsidRPr="008544DD" w:rsidRDefault="002A5BA3" w:rsidP="002A5BA3">
      <w:pPr>
        <w:tabs>
          <w:tab w:val="left" w:pos="2595"/>
        </w:tabs>
        <w:spacing w:line="276" w:lineRule="auto"/>
        <w:jc w:val="both"/>
      </w:pPr>
      <w:r w:rsidRPr="008544DD">
        <w:tab/>
      </w:r>
    </w:p>
    <w:p w14:paraId="542B08EA" w14:textId="77777777" w:rsidR="002A5BA3" w:rsidRPr="008544DD" w:rsidRDefault="002A5BA3" w:rsidP="002A5BA3">
      <w:pPr>
        <w:spacing w:line="276" w:lineRule="auto"/>
        <w:jc w:val="both"/>
        <w:rPr>
          <w:b/>
        </w:rPr>
      </w:pPr>
      <w:r w:rsidRPr="008544DD">
        <w:rPr>
          <w:b/>
        </w:rPr>
        <w:t>Předložené materiály</w:t>
      </w:r>
    </w:p>
    <w:p w14:paraId="1201E309" w14:textId="77777777" w:rsidR="002A5BA3" w:rsidRPr="008544DD" w:rsidRDefault="002A5BA3" w:rsidP="002A5BA3">
      <w:pPr>
        <w:numPr>
          <w:ilvl w:val="0"/>
          <w:numId w:val="2"/>
        </w:numPr>
        <w:tabs>
          <w:tab w:val="left" w:pos="2595"/>
        </w:tabs>
        <w:spacing w:line="276" w:lineRule="auto"/>
        <w:jc w:val="both"/>
        <w:rPr>
          <w:color w:val="000000" w:themeColor="text1"/>
        </w:rPr>
      </w:pPr>
      <w:r w:rsidRPr="008544DD">
        <w:rPr>
          <w:bCs/>
          <w:color w:val="000000" w:themeColor="text1"/>
        </w:rPr>
        <w:t xml:space="preserve">Dotační systém hlavního města Prahy v oblasti kultury a umění na léta </w:t>
      </w:r>
      <w:proofErr w:type="gramStart"/>
      <w:r w:rsidRPr="008544DD">
        <w:rPr>
          <w:bCs/>
          <w:color w:val="000000" w:themeColor="text1"/>
        </w:rPr>
        <w:t>2022 - 2027</w:t>
      </w:r>
      <w:proofErr w:type="gramEnd"/>
    </w:p>
    <w:p w14:paraId="6D6F8491" w14:textId="77777777" w:rsidR="002A5BA3" w:rsidRPr="008544DD" w:rsidRDefault="002A5BA3" w:rsidP="002A5BA3">
      <w:pPr>
        <w:pStyle w:val="Odstavecseseznamem"/>
        <w:numPr>
          <w:ilvl w:val="0"/>
          <w:numId w:val="2"/>
        </w:numPr>
        <w:spacing w:line="276" w:lineRule="auto"/>
        <w:jc w:val="both"/>
        <w:rPr>
          <w:rFonts w:ascii="Times New Roman" w:hAnsi="Times New Roman" w:cs="Times New Roman"/>
        </w:rPr>
      </w:pPr>
      <w:r w:rsidRPr="008544DD">
        <w:rPr>
          <w:rFonts w:ascii="Times New Roman" w:hAnsi="Times New Roman" w:cs="Times New Roman"/>
        </w:rPr>
        <w:t>Program podpory v oblasti kultury a umění pro jednoleté dotace pro rok 202</w:t>
      </w:r>
      <w:r>
        <w:rPr>
          <w:rFonts w:ascii="Times New Roman" w:hAnsi="Times New Roman" w:cs="Times New Roman"/>
        </w:rPr>
        <w:t>3</w:t>
      </w:r>
      <w:r w:rsidRPr="008544DD">
        <w:rPr>
          <w:rFonts w:ascii="Times New Roman" w:hAnsi="Times New Roman" w:cs="Times New Roman"/>
        </w:rPr>
        <w:t xml:space="preserve"> a pro víceleté dotace na léta </w:t>
      </w:r>
      <w:proofErr w:type="gramStart"/>
      <w:r w:rsidRPr="008544DD">
        <w:rPr>
          <w:rFonts w:ascii="Times New Roman" w:hAnsi="Times New Roman" w:cs="Times New Roman"/>
        </w:rPr>
        <w:t>202</w:t>
      </w:r>
      <w:r>
        <w:rPr>
          <w:rFonts w:ascii="Times New Roman" w:hAnsi="Times New Roman" w:cs="Times New Roman"/>
        </w:rPr>
        <w:t>4</w:t>
      </w:r>
      <w:r w:rsidRPr="008544DD">
        <w:rPr>
          <w:rFonts w:ascii="Times New Roman" w:hAnsi="Times New Roman" w:cs="Times New Roman"/>
        </w:rPr>
        <w:t xml:space="preserve"> – 202</w:t>
      </w:r>
      <w:r>
        <w:rPr>
          <w:rFonts w:ascii="Times New Roman" w:hAnsi="Times New Roman" w:cs="Times New Roman"/>
        </w:rPr>
        <w:t>7</w:t>
      </w:r>
      <w:proofErr w:type="gramEnd"/>
    </w:p>
    <w:p w14:paraId="6A3DA6A2" w14:textId="77777777" w:rsidR="002A5BA3" w:rsidRPr="008544DD" w:rsidRDefault="002A5BA3" w:rsidP="002A5BA3">
      <w:pPr>
        <w:pStyle w:val="Odstavecseseznamem"/>
        <w:numPr>
          <w:ilvl w:val="0"/>
          <w:numId w:val="2"/>
        </w:numPr>
        <w:spacing w:line="276" w:lineRule="auto"/>
        <w:jc w:val="both"/>
        <w:rPr>
          <w:rFonts w:ascii="Times New Roman" w:hAnsi="Times New Roman" w:cs="Times New Roman"/>
        </w:rPr>
      </w:pPr>
      <w:r w:rsidRPr="008544DD">
        <w:rPr>
          <w:rFonts w:ascii="Times New Roman" w:hAnsi="Times New Roman" w:cs="Times New Roman"/>
        </w:rPr>
        <w:t>O Programu podpory – prezentace pro Dotační komisi</w:t>
      </w:r>
    </w:p>
    <w:p w14:paraId="5A2E8DB6" w14:textId="77777777" w:rsidR="002A5BA3" w:rsidRPr="00687160" w:rsidRDefault="002A5BA3" w:rsidP="002A5BA3">
      <w:pPr>
        <w:pStyle w:val="Odstavecseseznamem"/>
        <w:numPr>
          <w:ilvl w:val="0"/>
          <w:numId w:val="2"/>
        </w:numPr>
        <w:spacing w:line="276" w:lineRule="auto"/>
        <w:jc w:val="both"/>
      </w:pPr>
      <w:r w:rsidRPr="005F7808">
        <w:rPr>
          <w:rFonts w:ascii="Times New Roman" w:hAnsi="Times New Roman" w:cs="Times New Roman"/>
        </w:rPr>
        <w:lastRenderedPageBreak/>
        <w:t>Pravidla činnosti komise Rady hl. m. Prahy pro udělování dotací hl. m. Prahy v oblasti kultury a umění v dotačním řízení pro rok 202</w:t>
      </w:r>
      <w:r>
        <w:rPr>
          <w:rFonts w:ascii="Times New Roman" w:hAnsi="Times New Roman" w:cs="Times New Roman"/>
        </w:rPr>
        <w:t>3</w:t>
      </w:r>
    </w:p>
    <w:p w14:paraId="46FF586E" w14:textId="77777777" w:rsidR="002A5BA3" w:rsidRPr="005F7808" w:rsidRDefault="002A5BA3" w:rsidP="002A5BA3">
      <w:pPr>
        <w:pStyle w:val="Odstavecseseznamem"/>
        <w:numPr>
          <w:ilvl w:val="0"/>
          <w:numId w:val="2"/>
        </w:numPr>
        <w:spacing w:line="276" w:lineRule="auto"/>
        <w:jc w:val="both"/>
        <w:rPr>
          <w:rFonts w:ascii="Times New Roman" w:hAnsi="Times New Roman" w:cs="Times New Roman"/>
        </w:rPr>
      </w:pPr>
      <w:r w:rsidRPr="005F7808">
        <w:rPr>
          <w:rFonts w:ascii="Times New Roman" w:hAnsi="Times New Roman" w:cs="Times New Roman"/>
          <w:color w:val="000000"/>
        </w:rPr>
        <w:t>Harmonogram dotačního řízení v roce 202</w:t>
      </w:r>
      <w:r>
        <w:rPr>
          <w:rFonts w:ascii="Times New Roman" w:hAnsi="Times New Roman" w:cs="Times New Roman"/>
          <w:color w:val="000000"/>
        </w:rPr>
        <w:t>2/2023</w:t>
      </w:r>
      <w:r w:rsidRPr="005F7808">
        <w:rPr>
          <w:rFonts w:ascii="Times New Roman" w:hAnsi="Times New Roman" w:cs="Times New Roman"/>
          <w:color w:val="000000"/>
        </w:rPr>
        <w:t xml:space="preserve"> (dále jen „Harmonogram“)</w:t>
      </w:r>
    </w:p>
    <w:p w14:paraId="4CF06195" w14:textId="77777777" w:rsidR="002A5BA3" w:rsidRPr="008544DD" w:rsidRDefault="002A5BA3" w:rsidP="002A5BA3">
      <w:pPr>
        <w:pStyle w:val="Odstavecseseznamem"/>
        <w:numPr>
          <w:ilvl w:val="0"/>
          <w:numId w:val="2"/>
        </w:numPr>
        <w:spacing w:line="276" w:lineRule="auto"/>
        <w:jc w:val="both"/>
        <w:rPr>
          <w:rFonts w:ascii="Times New Roman" w:hAnsi="Times New Roman" w:cs="Times New Roman"/>
        </w:rPr>
      </w:pPr>
      <w:r w:rsidRPr="008544DD">
        <w:rPr>
          <w:rFonts w:ascii="Times New Roman" w:hAnsi="Times New Roman" w:cs="Times New Roman"/>
        </w:rPr>
        <w:t>Pověření externího pracovníka k výkonu činnosti a přístupu k informacím v rámci Magistrátu hlavního města Prahy</w:t>
      </w:r>
    </w:p>
    <w:p w14:paraId="3CDC6101" w14:textId="77777777" w:rsidR="002A5BA3" w:rsidRPr="008544DD" w:rsidRDefault="002A5BA3" w:rsidP="002A5BA3">
      <w:pPr>
        <w:spacing w:line="276" w:lineRule="auto"/>
        <w:jc w:val="both"/>
      </w:pPr>
    </w:p>
    <w:p w14:paraId="6D822EF7" w14:textId="77777777" w:rsidR="002A5BA3" w:rsidRPr="008544DD" w:rsidRDefault="002A5BA3" w:rsidP="002A5BA3">
      <w:pPr>
        <w:pStyle w:val="Zkladntext"/>
        <w:spacing w:line="276" w:lineRule="auto"/>
        <w:jc w:val="both"/>
        <w:rPr>
          <w:b w:val="0"/>
          <w:bCs w:val="0"/>
          <w:color w:val="000000" w:themeColor="text1"/>
          <w:sz w:val="22"/>
          <w:szCs w:val="22"/>
        </w:rPr>
      </w:pPr>
      <w:r>
        <w:rPr>
          <w:b w:val="0"/>
          <w:bCs w:val="0"/>
          <w:color w:val="000000" w:themeColor="text1"/>
          <w:sz w:val="22"/>
          <w:szCs w:val="22"/>
        </w:rPr>
        <w:t>DK</w:t>
      </w:r>
      <w:r w:rsidRPr="008544DD">
        <w:rPr>
          <w:b w:val="0"/>
          <w:bCs w:val="0"/>
          <w:color w:val="000000" w:themeColor="text1"/>
          <w:sz w:val="22"/>
          <w:szCs w:val="22"/>
        </w:rPr>
        <w:t xml:space="preserve"> se sešla v počtu 1</w:t>
      </w:r>
      <w:r>
        <w:rPr>
          <w:b w:val="0"/>
          <w:bCs w:val="0"/>
          <w:color w:val="000000" w:themeColor="text1"/>
          <w:sz w:val="22"/>
          <w:szCs w:val="22"/>
        </w:rPr>
        <w:t>5</w:t>
      </w:r>
      <w:r w:rsidRPr="008544DD">
        <w:rPr>
          <w:b w:val="0"/>
          <w:bCs w:val="0"/>
          <w:color w:val="000000" w:themeColor="text1"/>
          <w:sz w:val="22"/>
          <w:szCs w:val="22"/>
        </w:rPr>
        <w:t xml:space="preserve"> osob a byla usnášení schopná. </w:t>
      </w:r>
    </w:p>
    <w:p w14:paraId="36509E23" w14:textId="77777777" w:rsidR="002A5BA3" w:rsidRPr="008544DD" w:rsidRDefault="002A5BA3" w:rsidP="002A5BA3">
      <w:pPr>
        <w:spacing w:line="276" w:lineRule="auto"/>
        <w:jc w:val="both"/>
      </w:pPr>
    </w:p>
    <w:p w14:paraId="4DCF677A" w14:textId="77777777" w:rsidR="002A5BA3" w:rsidRPr="005F7808" w:rsidRDefault="002A5BA3" w:rsidP="002A5BA3">
      <w:pPr>
        <w:spacing w:line="276" w:lineRule="auto"/>
        <w:jc w:val="both"/>
        <w:rPr>
          <w:b/>
        </w:rPr>
      </w:pPr>
      <w:r w:rsidRPr="005F7808">
        <w:rPr>
          <w:b/>
        </w:rPr>
        <w:t>Průběh jednání</w:t>
      </w:r>
    </w:p>
    <w:p w14:paraId="28C18718" w14:textId="77777777" w:rsidR="002A5BA3" w:rsidRPr="005F7808" w:rsidRDefault="002A5BA3" w:rsidP="002A5BA3">
      <w:pPr>
        <w:spacing w:line="276" w:lineRule="auto"/>
        <w:jc w:val="both"/>
        <w:rPr>
          <w:b/>
        </w:rPr>
      </w:pPr>
    </w:p>
    <w:p w14:paraId="23685A0B" w14:textId="77777777" w:rsidR="002A5BA3" w:rsidRPr="005F7808" w:rsidRDefault="002A5BA3" w:rsidP="002A5BA3">
      <w:pPr>
        <w:spacing w:line="276" w:lineRule="auto"/>
        <w:jc w:val="both"/>
        <w:rPr>
          <w:b/>
        </w:rPr>
      </w:pPr>
      <w:r w:rsidRPr="005F7808">
        <w:rPr>
          <w:b/>
        </w:rPr>
        <w:t xml:space="preserve">1/ Úvod </w:t>
      </w:r>
    </w:p>
    <w:p w14:paraId="755325EB" w14:textId="77777777" w:rsidR="002A5BA3" w:rsidRPr="008544DD" w:rsidRDefault="002A5BA3" w:rsidP="002A5BA3">
      <w:pPr>
        <w:spacing w:line="276" w:lineRule="auto"/>
        <w:jc w:val="both"/>
      </w:pPr>
      <w:r w:rsidRPr="008544DD">
        <w:t xml:space="preserve">V úvodu </w:t>
      </w:r>
      <w:r>
        <w:t>předseda</w:t>
      </w:r>
      <w:r w:rsidRPr="008544DD">
        <w:t xml:space="preserve"> přivítal členy </w:t>
      </w:r>
      <w:r>
        <w:t>DK,</w:t>
      </w:r>
      <w:r w:rsidRPr="008544DD">
        <w:t xml:space="preserve"> zahájil jednání a zmínil organizační náležitosti komise. </w:t>
      </w:r>
      <w:r>
        <w:t xml:space="preserve">Představil nové členy DK – Evu </w:t>
      </w:r>
      <w:proofErr w:type="spellStart"/>
      <w:r>
        <w:t>Kejkrtou</w:t>
      </w:r>
      <w:proofErr w:type="spellEnd"/>
      <w:r>
        <w:t xml:space="preserve"> Měřičkovou za oblast Divadlo, Veroniku Bednářovou a Vlastimila Ježka za oblast Profilové festivaly a předal jim jmenovací dekrety ke členství v DK.</w:t>
      </w:r>
    </w:p>
    <w:p w14:paraId="11E2A4FB" w14:textId="77777777" w:rsidR="002A5BA3" w:rsidRPr="008544DD" w:rsidRDefault="002A5BA3" w:rsidP="002A5BA3">
      <w:pPr>
        <w:spacing w:line="276" w:lineRule="auto"/>
        <w:jc w:val="both"/>
      </w:pPr>
    </w:p>
    <w:p w14:paraId="3EDFE75B" w14:textId="77777777" w:rsidR="002A5BA3" w:rsidRPr="005F7808" w:rsidRDefault="002A5BA3" w:rsidP="002A5BA3">
      <w:pPr>
        <w:spacing w:line="276" w:lineRule="auto"/>
        <w:jc w:val="both"/>
        <w:rPr>
          <w:b/>
          <w:bCs/>
          <w:i/>
          <w:iCs/>
        </w:rPr>
      </w:pPr>
      <w:r w:rsidRPr="005F7808">
        <w:rPr>
          <w:b/>
          <w:bCs/>
          <w:i/>
          <w:iCs/>
        </w:rPr>
        <w:t>Usnesení 1</w:t>
      </w:r>
    </w:p>
    <w:p w14:paraId="2EBB7469" w14:textId="77777777" w:rsidR="002A5BA3" w:rsidRPr="005F7808" w:rsidRDefault="002A5BA3" w:rsidP="002A5BA3">
      <w:pPr>
        <w:spacing w:line="276" w:lineRule="auto"/>
        <w:jc w:val="both"/>
        <w:rPr>
          <w:i/>
          <w:iCs/>
        </w:rPr>
      </w:pPr>
      <w:r w:rsidRPr="005F7808">
        <w:rPr>
          <w:i/>
          <w:iCs/>
        </w:rPr>
        <w:t xml:space="preserve">Dle jednacího řádu komisí je na návrh předsedy vyjádřen souhlas všech přítomných členů s účastí hostů – Jiřího </w:t>
      </w:r>
      <w:proofErr w:type="spellStart"/>
      <w:r w:rsidRPr="005F7808">
        <w:rPr>
          <w:i/>
          <w:iCs/>
        </w:rPr>
        <w:t>Sulženka</w:t>
      </w:r>
      <w:proofErr w:type="spellEnd"/>
      <w:r w:rsidRPr="005F7808">
        <w:rPr>
          <w:i/>
          <w:iCs/>
        </w:rPr>
        <w:t xml:space="preserve">, ředitele odboru kultury a cestovního ruchu a Lindy Krajčovič Synkové ze spol. Kreativní Praha, z. </w:t>
      </w:r>
      <w:proofErr w:type="spellStart"/>
      <w:r w:rsidRPr="005F7808">
        <w:rPr>
          <w:i/>
          <w:iCs/>
        </w:rPr>
        <w:t>ú.</w:t>
      </w:r>
      <w:proofErr w:type="spellEnd"/>
    </w:p>
    <w:p w14:paraId="686DBEA1" w14:textId="77777777" w:rsidR="002A5BA3" w:rsidRPr="005F7808" w:rsidRDefault="002A5BA3" w:rsidP="002A5BA3">
      <w:pPr>
        <w:spacing w:line="276" w:lineRule="auto"/>
        <w:jc w:val="both"/>
        <w:rPr>
          <w:i/>
          <w:iCs/>
        </w:rPr>
      </w:pPr>
      <w:r w:rsidRPr="005F7808">
        <w:rPr>
          <w:b/>
          <w:bCs/>
          <w:i/>
          <w:iCs/>
        </w:rPr>
        <w:t>Usnesení bylo schváleno jednomyslně</w:t>
      </w:r>
      <w:r w:rsidRPr="005F7808">
        <w:rPr>
          <w:i/>
          <w:iCs/>
        </w:rPr>
        <w:t xml:space="preserve"> 15 PRO / 0 PROTI / 0 SE ZDRŽEL</w:t>
      </w:r>
    </w:p>
    <w:p w14:paraId="55370233" w14:textId="77777777" w:rsidR="002A5BA3" w:rsidRPr="008544DD" w:rsidRDefault="002A5BA3" w:rsidP="002A5BA3">
      <w:pPr>
        <w:spacing w:line="276" w:lineRule="auto"/>
        <w:jc w:val="both"/>
      </w:pPr>
    </w:p>
    <w:p w14:paraId="3A5C44F4" w14:textId="77777777" w:rsidR="002A5BA3" w:rsidRPr="008544DD" w:rsidRDefault="002A5BA3" w:rsidP="002A5BA3">
      <w:pPr>
        <w:spacing w:line="276" w:lineRule="auto"/>
        <w:jc w:val="both"/>
      </w:pPr>
      <w:r w:rsidRPr="008544DD">
        <w:t>Následně předseda před</w:t>
      </w:r>
      <w:r>
        <w:t>al</w:t>
      </w:r>
      <w:r w:rsidRPr="008544DD">
        <w:t xml:space="preserve"> slovo řediteli </w:t>
      </w:r>
      <w:proofErr w:type="spellStart"/>
      <w:r w:rsidRPr="008544DD">
        <w:t>Sulženkovi</w:t>
      </w:r>
      <w:proofErr w:type="spellEnd"/>
      <w:r>
        <w:t>, který pozdravil přítomné a objasnil důvody prezentace Kulturní politiky hlavního města Prahy 22+</w:t>
      </w:r>
      <w:r w:rsidRPr="008544DD">
        <w:t>.</w:t>
      </w:r>
      <w:r>
        <w:t xml:space="preserve"> Principy dokumentu by se měly propisovat do hodnocení projektů v dotačním řízení, zároveň očekává, že tento proces bude postupný na několik let.</w:t>
      </w:r>
    </w:p>
    <w:p w14:paraId="00CE2A19" w14:textId="77777777" w:rsidR="002A5BA3" w:rsidRPr="008544DD" w:rsidRDefault="002A5BA3" w:rsidP="002A5BA3">
      <w:pPr>
        <w:spacing w:line="276" w:lineRule="auto"/>
        <w:jc w:val="both"/>
      </w:pPr>
    </w:p>
    <w:p w14:paraId="0031B250" w14:textId="77777777" w:rsidR="002A5BA3" w:rsidRDefault="002A5BA3" w:rsidP="002A5BA3">
      <w:pPr>
        <w:tabs>
          <w:tab w:val="left" w:pos="2595"/>
        </w:tabs>
        <w:spacing w:line="276" w:lineRule="auto"/>
        <w:jc w:val="both"/>
        <w:rPr>
          <w:b/>
          <w:color w:val="000000" w:themeColor="text1"/>
        </w:rPr>
      </w:pPr>
      <w:r>
        <w:rPr>
          <w:b/>
          <w:color w:val="000000" w:themeColor="text1"/>
        </w:rPr>
        <w:t>3</w:t>
      </w:r>
      <w:r w:rsidRPr="005F7808">
        <w:rPr>
          <w:b/>
          <w:color w:val="000000" w:themeColor="text1"/>
        </w:rPr>
        <w:t>/</w:t>
      </w:r>
      <w:r>
        <w:rPr>
          <w:b/>
          <w:color w:val="000000" w:themeColor="text1"/>
        </w:rPr>
        <w:t xml:space="preserve"> Jak se propisuje kulturní politika do hodnocení v rámci dotačního systému? – prezentace Linda Krajčovič Synková</w:t>
      </w:r>
    </w:p>
    <w:p w14:paraId="0D926781" w14:textId="77777777" w:rsidR="002A5BA3" w:rsidRDefault="002A5BA3" w:rsidP="002A5BA3">
      <w:pPr>
        <w:tabs>
          <w:tab w:val="left" w:pos="2595"/>
        </w:tabs>
        <w:spacing w:line="276" w:lineRule="auto"/>
        <w:jc w:val="both"/>
        <w:rPr>
          <w:bCs/>
          <w:color w:val="000000" w:themeColor="text1"/>
        </w:rPr>
      </w:pPr>
      <w:r w:rsidRPr="005F7808">
        <w:rPr>
          <w:bCs/>
          <w:color w:val="000000" w:themeColor="text1"/>
        </w:rPr>
        <w:t xml:space="preserve">Kulturní politika je rámec, co chce město dělat, dotační systém je nástroj, který má toto aplikovat do praxe. </w:t>
      </w:r>
      <w:r>
        <w:rPr>
          <w:bCs/>
          <w:color w:val="000000" w:themeColor="text1"/>
        </w:rPr>
        <w:t>Linda Krajčovič Synková př</w:t>
      </w:r>
      <w:r w:rsidRPr="005F7808">
        <w:rPr>
          <w:bCs/>
          <w:color w:val="000000" w:themeColor="text1"/>
        </w:rPr>
        <w:t>edstav</w:t>
      </w:r>
      <w:r>
        <w:rPr>
          <w:bCs/>
          <w:color w:val="000000" w:themeColor="text1"/>
        </w:rPr>
        <w:t>ila</w:t>
      </w:r>
      <w:r w:rsidRPr="005F7808">
        <w:rPr>
          <w:bCs/>
          <w:color w:val="000000" w:themeColor="text1"/>
        </w:rPr>
        <w:t xml:space="preserve"> obecn</w:t>
      </w:r>
      <w:r>
        <w:rPr>
          <w:bCs/>
          <w:color w:val="000000" w:themeColor="text1"/>
        </w:rPr>
        <w:t>é</w:t>
      </w:r>
      <w:r w:rsidRPr="005F7808">
        <w:rPr>
          <w:bCs/>
          <w:color w:val="000000" w:themeColor="text1"/>
        </w:rPr>
        <w:t xml:space="preserve"> charakteristik</w:t>
      </w:r>
      <w:r>
        <w:rPr>
          <w:bCs/>
          <w:color w:val="000000" w:themeColor="text1"/>
        </w:rPr>
        <w:t>y</w:t>
      </w:r>
      <w:r w:rsidRPr="005F7808">
        <w:rPr>
          <w:bCs/>
          <w:color w:val="000000" w:themeColor="text1"/>
        </w:rPr>
        <w:t xml:space="preserve"> dokumentu</w:t>
      </w:r>
      <w:r>
        <w:rPr>
          <w:bCs/>
          <w:color w:val="000000" w:themeColor="text1"/>
        </w:rPr>
        <w:t xml:space="preserve"> a princip </w:t>
      </w:r>
      <w:r w:rsidRPr="005F7808">
        <w:rPr>
          <w:bCs/>
          <w:color w:val="000000" w:themeColor="text1"/>
        </w:rPr>
        <w:t>Akčních plánů jako soupisu konkrétních projektů, na kterých se bude v následujícím roce pracovat</w:t>
      </w:r>
      <w:r>
        <w:rPr>
          <w:bCs/>
          <w:color w:val="000000" w:themeColor="text1"/>
        </w:rPr>
        <w:t>. Na vzniku dokumentu se podílelo několik pracovních skupin.</w:t>
      </w:r>
      <w:r w:rsidRPr="005F7808">
        <w:rPr>
          <w:bCs/>
          <w:color w:val="000000" w:themeColor="text1"/>
        </w:rPr>
        <w:t xml:space="preserve"> </w:t>
      </w:r>
      <w:r>
        <w:rPr>
          <w:bCs/>
          <w:color w:val="000000" w:themeColor="text1"/>
        </w:rPr>
        <w:t xml:space="preserve">Představení 5 základních kapitol a průřezových kritérií – udržitelnost, přístupnost a otevřenost, pilotování a znalost, inovace a rozmanitost. Vyzvala členy DK k další spolupráci na programu podpory v oblasti kultury a umění pro příští </w:t>
      </w:r>
      <w:proofErr w:type="gramStart"/>
      <w:r>
        <w:rPr>
          <w:bCs/>
          <w:color w:val="000000" w:themeColor="text1"/>
        </w:rPr>
        <w:t>roky</w:t>
      </w:r>
      <w:proofErr w:type="gramEnd"/>
      <w:r>
        <w:rPr>
          <w:bCs/>
          <w:color w:val="000000" w:themeColor="text1"/>
        </w:rPr>
        <w:t xml:space="preserve"> a ještě lepšímu vztahu kulturní politiky a dotačního programu.</w:t>
      </w:r>
    </w:p>
    <w:p w14:paraId="449986EE" w14:textId="77777777" w:rsidR="002A5BA3" w:rsidRDefault="002A5BA3" w:rsidP="002A5BA3">
      <w:pPr>
        <w:tabs>
          <w:tab w:val="left" w:pos="2595"/>
        </w:tabs>
        <w:spacing w:line="276" w:lineRule="auto"/>
        <w:jc w:val="both"/>
        <w:rPr>
          <w:bCs/>
          <w:color w:val="000000" w:themeColor="text1"/>
        </w:rPr>
      </w:pPr>
    </w:p>
    <w:p w14:paraId="50DA3C57" w14:textId="77777777" w:rsidR="002A5BA3" w:rsidRDefault="002A5BA3" w:rsidP="002A5BA3">
      <w:pPr>
        <w:tabs>
          <w:tab w:val="left" w:pos="2595"/>
        </w:tabs>
        <w:spacing w:line="276" w:lineRule="auto"/>
        <w:jc w:val="both"/>
        <w:rPr>
          <w:bCs/>
          <w:color w:val="000000" w:themeColor="text1"/>
        </w:rPr>
      </w:pPr>
      <w:r>
        <w:rPr>
          <w:bCs/>
          <w:color w:val="000000" w:themeColor="text1"/>
        </w:rPr>
        <w:t>Předseda Benda v této souvislosti pozval všechny přítomné členy DK na workshop pro externí hodnotitele, který se koná v úterý 28. 6. od 14:00 hodin, seminář bude obsahovat též seznámení s Modulem hodnocení.</w:t>
      </w:r>
    </w:p>
    <w:p w14:paraId="5F49B450" w14:textId="77777777" w:rsidR="002A5BA3" w:rsidRDefault="002A5BA3" w:rsidP="002A5BA3">
      <w:pPr>
        <w:tabs>
          <w:tab w:val="left" w:pos="2595"/>
        </w:tabs>
        <w:spacing w:line="276" w:lineRule="auto"/>
        <w:jc w:val="both"/>
        <w:rPr>
          <w:bCs/>
          <w:color w:val="000000" w:themeColor="text1"/>
        </w:rPr>
      </w:pPr>
    </w:p>
    <w:p w14:paraId="299751AE" w14:textId="77777777" w:rsidR="002A5BA3" w:rsidRPr="005F7808" w:rsidRDefault="002A5BA3" w:rsidP="002A5BA3">
      <w:pPr>
        <w:tabs>
          <w:tab w:val="left" w:pos="2595"/>
        </w:tabs>
        <w:spacing w:line="276" w:lineRule="auto"/>
        <w:jc w:val="both"/>
        <w:rPr>
          <w:bCs/>
          <w:color w:val="000000" w:themeColor="text1"/>
        </w:rPr>
      </w:pPr>
      <w:r>
        <w:rPr>
          <w:bCs/>
          <w:color w:val="000000" w:themeColor="text1"/>
        </w:rPr>
        <w:t xml:space="preserve">Ředitel Sulženko poděkoval za zimní schůzky s oborovými dvojicemi a vyzval k jejich opakování po skončení letošního dotačního řízení, cílem je úprava jednotlivých Opatření, aby lépe reflektovala cíle kulturní politiky. </w:t>
      </w:r>
    </w:p>
    <w:p w14:paraId="2D255A47" w14:textId="77777777" w:rsidR="002A5BA3" w:rsidRDefault="002A5BA3" w:rsidP="002A5BA3">
      <w:pPr>
        <w:tabs>
          <w:tab w:val="left" w:pos="2595"/>
        </w:tabs>
        <w:spacing w:line="276" w:lineRule="auto"/>
        <w:jc w:val="both"/>
        <w:rPr>
          <w:b/>
          <w:color w:val="000000" w:themeColor="text1"/>
        </w:rPr>
      </w:pPr>
    </w:p>
    <w:p w14:paraId="0D051603" w14:textId="77777777" w:rsidR="002A5BA3" w:rsidRPr="005F7808" w:rsidRDefault="002A5BA3" w:rsidP="002A5BA3">
      <w:pPr>
        <w:tabs>
          <w:tab w:val="left" w:pos="2595"/>
        </w:tabs>
        <w:spacing w:line="276" w:lineRule="auto"/>
        <w:jc w:val="both"/>
        <w:rPr>
          <w:b/>
          <w:color w:val="000000" w:themeColor="text1"/>
        </w:rPr>
      </w:pPr>
      <w:r>
        <w:rPr>
          <w:b/>
          <w:color w:val="000000" w:themeColor="text1"/>
        </w:rPr>
        <w:t xml:space="preserve">4/ </w:t>
      </w:r>
      <w:r w:rsidRPr="005F7808">
        <w:rPr>
          <w:b/>
          <w:color w:val="000000" w:themeColor="text1"/>
        </w:rPr>
        <w:t>Seznámení s</w:t>
      </w:r>
      <w:r>
        <w:rPr>
          <w:b/>
          <w:color w:val="000000" w:themeColor="text1"/>
        </w:rPr>
        <w:t xml:space="preserve"> novinkami v </w:t>
      </w:r>
      <w:r w:rsidRPr="005F7808">
        <w:rPr>
          <w:b/>
          <w:color w:val="000000" w:themeColor="text1"/>
        </w:rPr>
        <w:t>Program</w:t>
      </w:r>
      <w:r>
        <w:rPr>
          <w:b/>
          <w:color w:val="000000" w:themeColor="text1"/>
        </w:rPr>
        <w:t>u</w:t>
      </w:r>
      <w:r w:rsidRPr="005F7808">
        <w:rPr>
          <w:b/>
          <w:color w:val="000000" w:themeColor="text1"/>
        </w:rPr>
        <w:t xml:space="preserve"> podpory v oblasti kultury a umění pro jednoleté dotace v roce 202</w:t>
      </w:r>
      <w:r>
        <w:rPr>
          <w:b/>
          <w:color w:val="000000" w:themeColor="text1"/>
        </w:rPr>
        <w:t>3</w:t>
      </w:r>
      <w:r w:rsidRPr="005F7808">
        <w:rPr>
          <w:b/>
          <w:color w:val="000000" w:themeColor="text1"/>
        </w:rPr>
        <w:t xml:space="preserve"> a víceleté dotace na léta </w:t>
      </w:r>
      <w:proofErr w:type="gramStart"/>
      <w:r w:rsidRPr="005F7808">
        <w:rPr>
          <w:b/>
          <w:color w:val="000000" w:themeColor="text1"/>
        </w:rPr>
        <w:t>202</w:t>
      </w:r>
      <w:r>
        <w:rPr>
          <w:b/>
          <w:color w:val="000000" w:themeColor="text1"/>
        </w:rPr>
        <w:t>4</w:t>
      </w:r>
      <w:r w:rsidRPr="005F7808">
        <w:rPr>
          <w:b/>
          <w:color w:val="000000" w:themeColor="text1"/>
        </w:rPr>
        <w:t xml:space="preserve"> -202</w:t>
      </w:r>
      <w:r>
        <w:rPr>
          <w:b/>
          <w:color w:val="000000" w:themeColor="text1"/>
        </w:rPr>
        <w:t>7</w:t>
      </w:r>
      <w:proofErr w:type="gramEnd"/>
    </w:p>
    <w:p w14:paraId="172A17C1" w14:textId="77777777" w:rsidR="002A5BA3" w:rsidRPr="008544DD" w:rsidRDefault="002A5BA3" w:rsidP="002A5BA3">
      <w:pPr>
        <w:spacing w:line="276" w:lineRule="auto"/>
        <w:jc w:val="both"/>
      </w:pPr>
    </w:p>
    <w:p w14:paraId="44DE1676" w14:textId="77777777" w:rsidR="002A5BA3" w:rsidRDefault="002A5BA3" w:rsidP="002A5BA3">
      <w:pPr>
        <w:tabs>
          <w:tab w:val="left" w:pos="2595"/>
        </w:tabs>
        <w:spacing w:line="276" w:lineRule="auto"/>
        <w:jc w:val="both"/>
      </w:pPr>
      <w:r>
        <w:lastRenderedPageBreak/>
        <w:t>Na úvod tajemnice DK Tamara Hegerová představila harmonogram dotačního řízení v roce 2022, který všichni přítomní dostali vytištěný i e-mailem.</w:t>
      </w:r>
    </w:p>
    <w:p w14:paraId="1710946C" w14:textId="77777777" w:rsidR="002A5BA3" w:rsidRDefault="002A5BA3" w:rsidP="002A5BA3">
      <w:pPr>
        <w:tabs>
          <w:tab w:val="left" w:pos="2595"/>
        </w:tabs>
        <w:spacing w:line="276" w:lineRule="auto"/>
        <w:jc w:val="both"/>
      </w:pPr>
      <w:r>
        <w:t xml:space="preserve">Nové Opatření II. Profilové festivaly, dvě víceletá Opatření, pět jednoletých. Obory zůstávají zachované. Z důvodu nového Opatření má DK 17 členů, nově jsou dva hodnotitelé též pro Opatření Profilové festivaly. Dále představení jednotlivých Opatření včetně minimálních žádaných částek, povinná vstupní kritéria pro žadatele v Opatření II. </w:t>
      </w:r>
    </w:p>
    <w:p w14:paraId="721AA7C2" w14:textId="77777777" w:rsidR="002A5BA3" w:rsidRDefault="002A5BA3" w:rsidP="002A5BA3">
      <w:pPr>
        <w:tabs>
          <w:tab w:val="left" w:pos="2595"/>
        </w:tabs>
        <w:spacing w:line="276" w:lineRule="auto"/>
        <w:jc w:val="both"/>
      </w:pPr>
      <w:r>
        <w:t>Předpokládaný celkový objem finančních prostředků je 380.000.000 Kč, víceletými dotacemi z předešlých let je vázáno 263.120.000 Kč, na jednoleté dotace zbývá 116.880.000 Kč.</w:t>
      </w:r>
    </w:p>
    <w:p w14:paraId="03A2A3FC" w14:textId="77777777" w:rsidR="002A5BA3" w:rsidRDefault="002A5BA3" w:rsidP="002A5BA3">
      <w:pPr>
        <w:tabs>
          <w:tab w:val="left" w:pos="2595"/>
        </w:tabs>
        <w:spacing w:line="276" w:lineRule="auto"/>
        <w:jc w:val="both"/>
      </w:pPr>
      <w:r>
        <w:t xml:space="preserve">Hodnocení žádostí zůstává stejné jako v loňském roce, v 1. kole hodnotí oborová dvojice a 3 expertní hodnotitelé dle kritérií uvedených ve Formuláři hodnocení, ve 2. kole hodnocení hodnotí celá DK. Minimální bodová hranice pro poskytnutí dotace je v Opatření I., II., III. a VI. 75 bodů, pro Opatření IV. a V. 65 bodů. Pokud žádost obdrží v kterémkoli kritériu </w:t>
      </w:r>
      <w:proofErr w:type="gramStart"/>
      <w:r>
        <w:t>0 – 6</w:t>
      </w:r>
      <w:proofErr w:type="gramEnd"/>
      <w:r>
        <w:t xml:space="preserve"> bodů, bude navržena k neposkytnutí dotace, hodnota bude průměrem od všech 5 hodnotitelů z 1. kola. Žádostem, které obdrží 95 bodů a více může být dotace snížena až na 50 % požadované částky, u všech žádostí, které obdrží </w:t>
      </w:r>
      <w:proofErr w:type="gramStart"/>
      <w:r>
        <w:t>85 – 94</w:t>
      </w:r>
      <w:proofErr w:type="gramEnd"/>
      <w:r>
        <w:t xml:space="preserve"> bodů může být dotace snížena až na 30 % požadované částky. </w:t>
      </w:r>
    </w:p>
    <w:p w14:paraId="11799A3F" w14:textId="77777777" w:rsidR="002A5BA3" w:rsidRDefault="002A5BA3" w:rsidP="002A5BA3">
      <w:pPr>
        <w:tabs>
          <w:tab w:val="left" w:pos="2595"/>
        </w:tabs>
        <w:spacing w:line="276" w:lineRule="auto"/>
        <w:jc w:val="both"/>
      </w:pPr>
      <w:r>
        <w:t xml:space="preserve">Obě kola hodnocení jsou neveřejná. </w:t>
      </w:r>
    </w:p>
    <w:p w14:paraId="011F0FFF" w14:textId="77777777" w:rsidR="002A5BA3" w:rsidRDefault="002A5BA3" w:rsidP="002A5BA3">
      <w:pPr>
        <w:tabs>
          <w:tab w:val="left" w:pos="2595"/>
        </w:tabs>
        <w:spacing w:line="276" w:lineRule="auto"/>
        <w:jc w:val="both"/>
      </w:pPr>
      <w:r>
        <w:t xml:space="preserve">Hodnotící formulář má v některých bodech nové formulace, některé části </w:t>
      </w:r>
      <w:proofErr w:type="spellStart"/>
      <w:r>
        <w:t>jedn</w:t>
      </w:r>
      <w:proofErr w:type="spellEnd"/>
      <w:r>
        <w:t xml:space="preserve">. kritérií lze nově ohodnotit </w:t>
      </w:r>
      <w:proofErr w:type="gramStart"/>
      <w:r>
        <w:t>0 – 10</w:t>
      </w:r>
      <w:proofErr w:type="gramEnd"/>
      <w:r>
        <w:t xml:space="preserve"> body.</w:t>
      </w:r>
    </w:p>
    <w:p w14:paraId="1FB56A74" w14:textId="77777777" w:rsidR="002A5BA3" w:rsidRDefault="002A5BA3" w:rsidP="002A5BA3">
      <w:pPr>
        <w:tabs>
          <w:tab w:val="left" w:pos="2595"/>
        </w:tabs>
        <w:spacing w:line="276" w:lineRule="auto"/>
        <w:jc w:val="both"/>
      </w:pPr>
    </w:p>
    <w:p w14:paraId="0DC19C31" w14:textId="77777777" w:rsidR="002A5BA3" w:rsidRDefault="002A5BA3" w:rsidP="002A5BA3">
      <w:pPr>
        <w:tabs>
          <w:tab w:val="left" w:pos="2595"/>
        </w:tabs>
        <w:spacing w:line="276" w:lineRule="auto"/>
        <w:jc w:val="both"/>
      </w:pPr>
      <w:r>
        <w:t>14:35 - odchod Vlastimila Ježka.</w:t>
      </w:r>
    </w:p>
    <w:p w14:paraId="5791BDAF" w14:textId="77777777" w:rsidR="002A5BA3" w:rsidRDefault="002A5BA3" w:rsidP="002A5BA3">
      <w:pPr>
        <w:tabs>
          <w:tab w:val="left" w:pos="2595"/>
        </w:tabs>
        <w:spacing w:line="276" w:lineRule="auto"/>
        <w:jc w:val="both"/>
      </w:pPr>
    </w:p>
    <w:p w14:paraId="0D26B569" w14:textId="77777777" w:rsidR="002A5BA3" w:rsidRDefault="002A5BA3" w:rsidP="002A5BA3">
      <w:pPr>
        <w:tabs>
          <w:tab w:val="left" w:pos="2595"/>
        </w:tabs>
        <w:spacing w:line="276" w:lineRule="auto"/>
        <w:jc w:val="both"/>
        <w:rPr>
          <w:b/>
          <w:bCs/>
        </w:rPr>
      </w:pPr>
      <w:r w:rsidRPr="005F7808">
        <w:rPr>
          <w:b/>
          <w:bCs/>
        </w:rPr>
        <w:t>5/ Seznam expertních hodnotitelů</w:t>
      </w:r>
    </w:p>
    <w:p w14:paraId="210A3C3D" w14:textId="77777777" w:rsidR="002A5BA3" w:rsidRDefault="002A5BA3" w:rsidP="002A5BA3">
      <w:pPr>
        <w:tabs>
          <w:tab w:val="left" w:pos="2595"/>
        </w:tabs>
        <w:spacing w:line="276" w:lineRule="auto"/>
        <w:jc w:val="both"/>
      </w:pPr>
      <w:r w:rsidRPr="005F7808">
        <w:t>Nové Opatření II. budou hodnotit expertní hodnotitelé, kteří již hodnotí v jiných oborech</w:t>
      </w:r>
      <w:r>
        <w:t>.</w:t>
      </w:r>
    </w:p>
    <w:p w14:paraId="20B5A164" w14:textId="77777777" w:rsidR="002A5BA3" w:rsidRDefault="002A5BA3" w:rsidP="002A5BA3">
      <w:pPr>
        <w:tabs>
          <w:tab w:val="left" w:pos="2595"/>
        </w:tabs>
        <w:spacing w:line="276" w:lineRule="auto"/>
        <w:jc w:val="both"/>
      </w:pPr>
    </w:p>
    <w:p w14:paraId="72FD39C4" w14:textId="77777777" w:rsidR="002A5BA3" w:rsidRDefault="002A5BA3" w:rsidP="002A5BA3">
      <w:pPr>
        <w:tabs>
          <w:tab w:val="left" w:pos="2595"/>
        </w:tabs>
        <w:spacing w:line="276" w:lineRule="auto"/>
        <w:jc w:val="both"/>
      </w:pPr>
      <w:r>
        <w:t>Dotaz Heleny Musilové, zda nové Opatření II. bude financováno z celkového předpokládaného objemu finančních prostředků na Program podpory v oblasti kultury a umění nebo má vlastní rozpočet. Ředitel Sulženko odpověděl, že neočekáváme nové žadatele, celkový rozpočet je navýšený o 14 % a je jeden rozpočet pro všechna Opatření.</w:t>
      </w:r>
    </w:p>
    <w:p w14:paraId="779DF622" w14:textId="77777777" w:rsidR="002A5BA3" w:rsidRDefault="002A5BA3" w:rsidP="002A5BA3">
      <w:pPr>
        <w:tabs>
          <w:tab w:val="left" w:pos="2595"/>
        </w:tabs>
        <w:spacing w:line="276" w:lineRule="auto"/>
        <w:jc w:val="both"/>
      </w:pPr>
    </w:p>
    <w:p w14:paraId="01F85FC8" w14:textId="77777777" w:rsidR="002A5BA3" w:rsidRDefault="002A5BA3" w:rsidP="002A5BA3">
      <w:pPr>
        <w:tabs>
          <w:tab w:val="left" w:pos="2595"/>
        </w:tabs>
        <w:spacing w:line="276" w:lineRule="auto"/>
        <w:jc w:val="both"/>
      </w:pPr>
      <w:r>
        <w:t>Michal Lázňovský doplnil informaci, že Štěpán Kubišta nebude z důvodu střetu zájmů expertním hodnotitelem.</w:t>
      </w:r>
    </w:p>
    <w:p w14:paraId="307F1EA6" w14:textId="77777777" w:rsidR="002A5BA3" w:rsidRDefault="002A5BA3" w:rsidP="002A5BA3">
      <w:pPr>
        <w:tabs>
          <w:tab w:val="left" w:pos="2595"/>
        </w:tabs>
        <w:spacing w:line="276" w:lineRule="auto"/>
        <w:jc w:val="both"/>
      </w:pPr>
    </w:p>
    <w:p w14:paraId="17C7997B" w14:textId="77777777" w:rsidR="002A5BA3" w:rsidRPr="005F7808" w:rsidRDefault="002A5BA3" w:rsidP="002A5BA3">
      <w:pPr>
        <w:tabs>
          <w:tab w:val="left" w:pos="2595"/>
        </w:tabs>
        <w:spacing w:line="276" w:lineRule="auto"/>
        <w:jc w:val="both"/>
        <w:rPr>
          <w:b/>
          <w:bCs/>
        </w:rPr>
      </w:pPr>
      <w:r w:rsidRPr="005F7808">
        <w:rPr>
          <w:b/>
          <w:bCs/>
        </w:rPr>
        <w:t>Usnesení:</w:t>
      </w:r>
    </w:p>
    <w:p w14:paraId="5F57BFA0" w14:textId="77777777" w:rsidR="002A5BA3" w:rsidRDefault="002A5BA3" w:rsidP="002A5BA3">
      <w:pPr>
        <w:tabs>
          <w:tab w:val="left" w:pos="2595"/>
        </w:tabs>
        <w:spacing w:line="276" w:lineRule="auto"/>
        <w:jc w:val="both"/>
      </w:pPr>
      <w:r>
        <w:t xml:space="preserve">Dotační komise se shodla na návrhu seznamu expertních hodnotitelů, který doporučuje řediteli Odboru KUC ke schválení.  </w:t>
      </w:r>
    </w:p>
    <w:p w14:paraId="445F42F4" w14:textId="77777777" w:rsidR="002A5BA3" w:rsidRDefault="002A5BA3" w:rsidP="002A5BA3">
      <w:pPr>
        <w:tabs>
          <w:tab w:val="left" w:pos="2595"/>
        </w:tabs>
        <w:spacing w:line="276" w:lineRule="auto"/>
        <w:jc w:val="both"/>
      </w:pPr>
      <w:r>
        <w:t xml:space="preserve">Usnesení bylo schváleno jednomyslně: 14 PRO (z toho 4 </w:t>
      </w:r>
      <w:proofErr w:type="gramStart"/>
      <w:r>
        <w:t>online)/</w:t>
      </w:r>
      <w:proofErr w:type="gramEnd"/>
      <w:r>
        <w:t xml:space="preserve"> 0 PROTI / 0 ZDRŽEL SE  </w:t>
      </w:r>
      <w:r w:rsidRPr="005F7808">
        <w:t xml:space="preserve"> </w:t>
      </w:r>
    </w:p>
    <w:p w14:paraId="15985EB7" w14:textId="77777777" w:rsidR="002A5BA3" w:rsidRDefault="002A5BA3" w:rsidP="002A5BA3">
      <w:pPr>
        <w:tabs>
          <w:tab w:val="left" w:pos="2595"/>
        </w:tabs>
        <w:spacing w:line="276" w:lineRule="auto"/>
        <w:jc w:val="both"/>
      </w:pPr>
    </w:p>
    <w:p w14:paraId="11763E51" w14:textId="77777777" w:rsidR="002A5BA3" w:rsidRDefault="002A5BA3" w:rsidP="002A5BA3">
      <w:pPr>
        <w:tabs>
          <w:tab w:val="left" w:pos="2595"/>
        </w:tabs>
        <w:spacing w:line="276" w:lineRule="auto"/>
        <w:jc w:val="both"/>
      </w:pPr>
      <w:r>
        <w:t xml:space="preserve">Michal Lázňovský vznesl dotaz, zda matematický model zmíněný v Programu podpory v čl. </w:t>
      </w:r>
      <w:proofErr w:type="gramStart"/>
      <w:r>
        <w:t>G  odst.</w:t>
      </w:r>
      <w:proofErr w:type="gramEnd"/>
      <w:r>
        <w:t xml:space="preserve"> 5 obnáší nějaký zvláštní vzorec. Tajemnice Hakenová odpověděla, že nikoli, po 1. kole hodnocení odbor připraví pořadí žádostí na základě dosažených bodů i na základě dosaženého pořadí napříč všemi obory.</w:t>
      </w:r>
    </w:p>
    <w:p w14:paraId="004166DF" w14:textId="77777777" w:rsidR="002A5BA3" w:rsidRDefault="002A5BA3" w:rsidP="002A5BA3">
      <w:pPr>
        <w:tabs>
          <w:tab w:val="left" w:pos="2595"/>
        </w:tabs>
        <w:spacing w:line="276" w:lineRule="auto"/>
        <w:jc w:val="both"/>
      </w:pPr>
    </w:p>
    <w:p w14:paraId="68142A63" w14:textId="77777777" w:rsidR="002A5BA3" w:rsidRDefault="002A5BA3" w:rsidP="002A5BA3">
      <w:pPr>
        <w:tabs>
          <w:tab w:val="left" w:pos="2595"/>
        </w:tabs>
        <w:spacing w:line="276" w:lineRule="auto"/>
        <w:jc w:val="both"/>
      </w:pPr>
      <w:r>
        <w:t>Helena Musilová vznesla dotaz, zda se školení pro externí hodnotitele bude opakovat, protože červnový program mnohých hodnotitelů je plný. Tajemnice Tamara Hegerová odpověděla, že školení se opakovat nebude, ale pro všechny externí hodnotitele bude k dispozici záznam (neveřejný).</w:t>
      </w:r>
    </w:p>
    <w:p w14:paraId="68AB0CB4" w14:textId="77777777" w:rsidR="002A5BA3" w:rsidRDefault="002A5BA3" w:rsidP="002A5BA3">
      <w:pPr>
        <w:tabs>
          <w:tab w:val="left" w:pos="2595"/>
        </w:tabs>
        <w:spacing w:line="276" w:lineRule="auto"/>
        <w:jc w:val="both"/>
      </w:pPr>
      <w:r>
        <w:t xml:space="preserve">Helena Musilová též vznesla požadavek na setkání všech hodnotitelů, kde by šlo o srovnání priorit mezi obory a diskusi všech hodnotitelů, nikoli jen o technické školení. Upozornila na různou </w:t>
      </w:r>
      <w:r>
        <w:lastRenderedPageBreak/>
        <w:t>„přísnost“ v průběhu minulého dotačního řízení. Předseda Benda odpověděl, že podobné setkání rozhodneme po školení externích hodnotitelů 28. 6. Nabízí se termín v první polovině záři.</w:t>
      </w:r>
    </w:p>
    <w:p w14:paraId="05133D78" w14:textId="77777777" w:rsidR="002A5BA3" w:rsidRDefault="002A5BA3" w:rsidP="002A5BA3">
      <w:pPr>
        <w:tabs>
          <w:tab w:val="left" w:pos="2595"/>
        </w:tabs>
        <w:spacing w:line="276" w:lineRule="auto"/>
        <w:jc w:val="both"/>
      </w:pPr>
    </w:p>
    <w:p w14:paraId="4E29E388" w14:textId="77777777" w:rsidR="002A5BA3" w:rsidRDefault="002A5BA3" w:rsidP="002A5BA3">
      <w:pPr>
        <w:tabs>
          <w:tab w:val="left" w:pos="2595"/>
        </w:tabs>
        <w:spacing w:line="276" w:lineRule="auto"/>
        <w:jc w:val="both"/>
      </w:pPr>
      <w:r>
        <w:t>Předseda Benda poděkoval všem za dosavadní spolupráci, popřál hezké léto a kvůli svému dalšímu programu jednání DK v 15:05 ukončil.</w:t>
      </w:r>
    </w:p>
    <w:p w14:paraId="380AC86D" w14:textId="77777777" w:rsidR="002A5BA3" w:rsidRPr="008544DD" w:rsidRDefault="002A5BA3" w:rsidP="002A5BA3">
      <w:pPr>
        <w:tabs>
          <w:tab w:val="left" w:pos="2595"/>
        </w:tabs>
        <w:spacing w:line="276" w:lineRule="auto"/>
        <w:jc w:val="both"/>
      </w:pPr>
    </w:p>
    <w:p w14:paraId="10B7C648" w14:textId="77777777" w:rsidR="002A5BA3" w:rsidRPr="008544DD" w:rsidRDefault="002A5BA3" w:rsidP="002A5BA3">
      <w:pPr>
        <w:spacing w:line="276" w:lineRule="auto"/>
      </w:pPr>
    </w:p>
    <w:p w14:paraId="753E72F9" w14:textId="77777777" w:rsidR="002A5BA3" w:rsidRDefault="002A5BA3" w:rsidP="002A5BA3">
      <w:pPr>
        <w:spacing w:line="276" w:lineRule="auto"/>
      </w:pPr>
      <w:r w:rsidRPr="008544DD">
        <w:t xml:space="preserve">V Praze dne </w:t>
      </w:r>
      <w:r>
        <w:t>27</w:t>
      </w:r>
      <w:r w:rsidRPr="008544DD">
        <w:t xml:space="preserve">. </w:t>
      </w:r>
      <w:r>
        <w:t>6</w:t>
      </w:r>
      <w:r w:rsidRPr="008544DD">
        <w:t>. 202</w:t>
      </w:r>
      <w:r>
        <w:t>2</w:t>
      </w:r>
    </w:p>
    <w:p w14:paraId="77CDAAD9" w14:textId="77777777" w:rsidR="002A5BA3" w:rsidRDefault="002A5BA3" w:rsidP="002A5BA3">
      <w:pPr>
        <w:spacing w:line="276" w:lineRule="auto"/>
      </w:pPr>
    </w:p>
    <w:p w14:paraId="2820325B" w14:textId="77777777" w:rsidR="002A5BA3" w:rsidRPr="008544DD" w:rsidRDefault="002A5BA3" w:rsidP="002A5BA3">
      <w:pPr>
        <w:spacing w:line="276" w:lineRule="auto"/>
      </w:pPr>
    </w:p>
    <w:p w14:paraId="763899B5" w14:textId="77777777" w:rsidR="002A5BA3" w:rsidRPr="0065682E" w:rsidRDefault="002A5BA3" w:rsidP="002A5BA3">
      <w:pPr>
        <w:spacing w:line="276" w:lineRule="auto"/>
      </w:pPr>
    </w:p>
    <w:p w14:paraId="746DADFC" w14:textId="77777777" w:rsidR="002A5BA3" w:rsidRDefault="002A5BA3" w:rsidP="002A5BA3">
      <w:pPr>
        <w:spacing w:line="276" w:lineRule="auto"/>
      </w:pPr>
      <w:r w:rsidRPr="0065682E">
        <w:t>Zpracovala:</w:t>
      </w:r>
      <w:r w:rsidRPr="0065682E">
        <w:tab/>
      </w:r>
      <w:r>
        <w:t>MgA. Kateřina Hakenová</w:t>
      </w:r>
      <w:r w:rsidRPr="0065682E">
        <w:t xml:space="preserve">, </w:t>
      </w:r>
      <w:r>
        <w:t xml:space="preserve">2. </w:t>
      </w:r>
      <w:r w:rsidRPr="0065682E">
        <w:t>tajemnice</w:t>
      </w:r>
      <w:r w:rsidRPr="0065682E">
        <w:tab/>
      </w:r>
      <w:r>
        <w:t xml:space="preserve">DK </w:t>
      </w:r>
      <w:r w:rsidRPr="0065682E">
        <w:t>____________________________</w:t>
      </w:r>
    </w:p>
    <w:p w14:paraId="2EB898DB" w14:textId="77777777" w:rsidR="002A5BA3" w:rsidRPr="0065682E" w:rsidRDefault="002A5BA3" w:rsidP="002A5BA3">
      <w:pPr>
        <w:spacing w:line="276" w:lineRule="auto"/>
      </w:pPr>
    </w:p>
    <w:p w14:paraId="7ACCCA38" w14:textId="77777777" w:rsidR="002A5BA3" w:rsidRDefault="002A5BA3" w:rsidP="002A5BA3">
      <w:pPr>
        <w:spacing w:line="276" w:lineRule="auto"/>
      </w:pPr>
      <w:r w:rsidRPr="0065682E">
        <w:t xml:space="preserve">Ověřila: </w:t>
      </w:r>
      <w:r w:rsidRPr="0065682E">
        <w:tab/>
      </w:r>
      <w:r>
        <w:t>Tamara Hegerová, 1. tajemnice DK ______________________</w:t>
      </w:r>
      <w:r w:rsidRPr="0065682E">
        <w:t>____________</w:t>
      </w:r>
      <w:r>
        <w:t>_</w:t>
      </w:r>
    </w:p>
    <w:p w14:paraId="1D76BD2F" w14:textId="77777777" w:rsidR="002A5BA3" w:rsidRPr="0065682E" w:rsidRDefault="002A5BA3" w:rsidP="002A5BA3">
      <w:pPr>
        <w:spacing w:line="276" w:lineRule="auto"/>
      </w:pPr>
    </w:p>
    <w:p w14:paraId="6F446AD8" w14:textId="77777777" w:rsidR="002A5BA3" w:rsidRDefault="002A5BA3" w:rsidP="002A5BA3">
      <w:pPr>
        <w:pStyle w:val="Zkladntext"/>
        <w:spacing w:line="276" w:lineRule="auto"/>
        <w:rPr>
          <w:b w:val="0"/>
          <w:sz w:val="22"/>
          <w:szCs w:val="22"/>
        </w:rPr>
      </w:pPr>
      <w:r w:rsidRPr="00CA275B">
        <w:rPr>
          <w:b w:val="0"/>
          <w:sz w:val="22"/>
          <w:szCs w:val="22"/>
        </w:rPr>
        <w:t>Schválil:</w:t>
      </w:r>
      <w:r w:rsidRPr="00CA275B">
        <w:rPr>
          <w:b w:val="0"/>
          <w:sz w:val="22"/>
          <w:szCs w:val="22"/>
        </w:rPr>
        <w:tab/>
        <w:t>Mgr. Martin Benda, předseda</w:t>
      </w:r>
      <w:r>
        <w:rPr>
          <w:b w:val="0"/>
          <w:sz w:val="22"/>
          <w:szCs w:val="22"/>
        </w:rPr>
        <w:t xml:space="preserve"> DK _____</w:t>
      </w:r>
      <w:r w:rsidRPr="00CA275B">
        <w:rPr>
          <w:b w:val="0"/>
          <w:sz w:val="22"/>
          <w:szCs w:val="22"/>
        </w:rPr>
        <w:t>_______________________________</w:t>
      </w:r>
    </w:p>
    <w:p w14:paraId="2EC3D835" w14:textId="77777777" w:rsidR="002A5BA3" w:rsidRDefault="002A5BA3" w:rsidP="002A5BA3">
      <w:pPr>
        <w:pStyle w:val="Zkladntext"/>
        <w:spacing w:line="276" w:lineRule="auto"/>
        <w:jc w:val="center"/>
        <w:rPr>
          <w:b w:val="0"/>
          <w:sz w:val="22"/>
          <w:szCs w:val="22"/>
        </w:rPr>
      </w:pPr>
    </w:p>
    <w:p w14:paraId="2A4A26EC" w14:textId="77777777" w:rsidR="002A5BA3" w:rsidRDefault="002A5BA3" w:rsidP="002A5BA3">
      <w:pPr>
        <w:pStyle w:val="Zkladntext"/>
        <w:spacing w:line="276" w:lineRule="auto"/>
        <w:jc w:val="center"/>
        <w:rPr>
          <w:b w:val="0"/>
          <w:sz w:val="22"/>
          <w:szCs w:val="22"/>
        </w:rPr>
      </w:pPr>
    </w:p>
    <w:p w14:paraId="79C3F204" w14:textId="77777777" w:rsidR="002A5BA3" w:rsidRDefault="002A5BA3" w:rsidP="002A5BA3">
      <w:pPr>
        <w:pStyle w:val="Zkladntext"/>
        <w:spacing w:line="276" w:lineRule="auto"/>
        <w:jc w:val="center"/>
        <w:rPr>
          <w:b w:val="0"/>
          <w:sz w:val="22"/>
          <w:szCs w:val="22"/>
        </w:rPr>
      </w:pPr>
    </w:p>
    <w:p w14:paraId="6D286BD3" w14:textId="77777777" w:rsidR="002A5BA3" w:rsidRDefault="002A5BA3" w:rsidP="002A5BA3">
      <w:pPr>
        <w:pStyle w:val="Zkladntext"/>
        <w:spacing w:line="276" w:lineRule="auto"/>
        <w:jc w:val="center"/>
        <w:rPr>
          <w:b w:val="0"/>
          <w:sz w:val="22"/>
          <w:szCs w:val="22"/>
        </w:rPr>
      </w:pPr>
    </w:p>
    <w:p w14:paraId="42BD7EE7" w14:textId="77777777" w:rsidR="002A5BA3" w:rsidRDefault="002A5BA3" w:rsidP="002A5BA3">
      <w:pPr>
        <w:spacing w:line="276" w:lineRule="auto"/>
        <w:jc w:val="both"/>
      </w:pPr>
    </w:p>
    <w:p w14:paraId="7ABA4A7E" w14:textId="77777777" w:rsidR="002A5BA3" w:rsidRDefault="002A5BA3" w:rsidP="002A5BA3">
      <w:pPr>
        <w:spacing w:line="276" w:lineRule="auto"/>
        <w:jc w:val="both"/>
      </w:pPr>
    </w:p>
    <w:p w14:paraId="57C8B729" w14:textId="77777777" w:rsidR="002A5BA3" w:rsidRDefault="002A5BA3" w:rsidP="002A5BA3">
      <w:pPr>
        <w:spacing w:line="276" w:lineRule="auto"/>
        <w:jc w:val="both"/>
      </w:pPr>
      <w:r>
        <w:t xml:space="preserve"> </w:t>
      </w:r>
    </w:p>
    <w:p w14:paraId="4A27959B" w14:textId="77777777" w:rsidR="002A5BA3" w:rsidRDefault="002A5BA3" w:rsidP="002A5BA3">
      <w:pPr>
        <w:spacing w:line="276" w:lineRule="auto"/>
        <w:jc w:val="both"/>
      </w:pPr>
    </w:p>
    <w:p w14:paraId="6BA342DB" w14:textId="77777777" w:rsidR="002A5BA3" w:rsidRDefault="002A5BA3" w:rsidP="002A5BA3">
      <w:pPr>
        <w:spacing w:line="276" w:lineRule="auto"/>
        <w:jc w:val="both"/>
      </w:pPr>
    </w:p>
    <w:p w14:paraId="7148CCCF" w14:textId="77777777" w:rsidR="002A5BA3" w:rsidRDefault="002A5BA3" w:rsidP="002A5BA3">
      <w:pPr>
        <w:spacing w:line="276" w:lineRule="auto"/>
        <w:jc w:val="both"/>
      </w:pPr>
    </w:p>
    <w:p w14:paraId="10E607C7" w14:textId="77777777" w:rsidR="002A5BA3" w:rsidRDefault="002A5BA3" w:rsidP="002A5BA3">
      <w:pPr>
        <w:spacing w:line="276" w:lineRule="auto"/>
        <w:jc w:val="both"/>
      </w:pPr>
    </w:p>
    <w:p w14:paraId="63C52A64" w14:textId="77777777" w:rsidR="002A5BA3" w:rsidRDefault="002A5BA3" w:rsidP="002A5BA3">
      <w:pPr>
        <w:spacing w:line="276" w:lineRule="auto"/>
        <w:jc w:val="both"/>
      </w:pPr>
    </w:p>
    <w:p w14:paraId="1DF83B03" w14:textId="77777777" w:rsidR="002A5BA3" w:rsidRDefault="002A5BA3" w:rsidP="002A5BA3">
      <w:pPr>
        <w:spacing w:line="276" w:lineRule="auto"/>
        <w:jc w:val="both"/>
      </w:pPr>
    </w:p>
    <w:p w14:paraId="56FC9F28" w14:textId="77777777" w:rsidR="002A5BA3" w:rsidRDefault="002A5BA3" w:rsidP="002A5BA3">
      <w:pPr>
        <w:tabs>
          <w:tab w:val="left" w:pos="2370"/>
        </w:tabs>
      </w:pPr>
    </w:p>
    <w:p w14:paraId="34729CCC" w14:textId="77777777" w:rsidR="002A5BA3" w:rsidRDefault="002A5BA3" w:rsidP="002A5BA3">
      <w:pPr>
        <w:tabs>
          <w:tab w:val="left" w:pos="2370"/>
        </w:tabs>
      </w:pPr>
    </w:p>
    <w:p w14:paraId="2BF5FABA" w14:textId="77777777" w:rsidR="002A5BA3" w:rsidRDefault="002A5BA3" w:rsidP="002A5BA3">
      <w:pPr>
        <w:tabs>
          <w:tab w:val="left" w:pos="2370"/>
        </w:tabs>
      </w:pPr>
    </w:p>
    <w:p w14:paraId="16A08964" w14:textId="77777777" w:rsidR="002A5BA3" w:rsidRDefault="002A5BA3" w:rsidP="002A5BA3">
      <w:pPr>
        <w:tabs>
          <w:tab w:val="left" w:pos="2370"/>
        </w:tabs>
      </w:pPr>
    </w:p>
    <w:p w14:paraId="27C3704F" w14:textId="77777777" w:rsidR="002A5BA3" w:rsidRDefault="002A5BA3" w:rsidP="002A5BA3">
      <w:pPr>
        <w:tabs>
          <w:tab w:val="left" w:pos="2370"/>
        </w:tabs>
      </w:pPr>
    </w:p>
    <w:p w14:paraId="0FB85C45" w14:textId="77777777" w:rsidR="002A5BA3" w:rsidRDefault="002A5BA3" w:rsidP="002A5BA3">
      <w:pPr>
        <w:tabs>
          <w:tab w:val="left" w:pos="2370"/>
        </w:tabs>
      </w:pPr>
    </w:p>
    <w:p w14:paraId="2EB8872D" w14:textId="77777777" w:rsidR="002A5BA3" w:rsidRDefault="002A5BA3" w:rsidP="002A5BA3">
      <w:pPr>
        <w:tabs>
          <w:tab w:val="left" w:pos="2370"/>
        </w:tabs>
      </w:pPr>
    </w:p>
    <w:p w14:paraId="7826A774" w14:textId="77777777" w:rsidR="002A5BA3" w:rsidRDefault="002A5BA3" w:rsidP="002A5BA3">
      <w:pPr>
        <w:tabs>
          <w:tab w:val="left" w:pos="2370"/>
        </w:tabs>
      </w:pPr>
    </w:p>
    <w:p w14:paraId="7DF312BC" w14:textId="77777777" w:rsidR="002A5BA3" w:rsidRDefault="002A5BA3" w:rsidP="002A5BA3">
      <w:pPr>
        <w:tabs>
          <w:tab w:val="left" w:pos="2370"/>
        </w:tabs>
      </w:pPr>
    </w:p>
    <w:p w14:paraId="7122B167" w14:textId="77777777" w:rsidR="002A5BA3" w:rsidRDefault="002A5BA3" w:rsidP="002A5BA3">
      <w:pPr>
        <w:tabs>
          <w:tab w:val="left" w:pos="2370"/>
        </w:tabs>
      </w:pPr>
    </w:p>
    <w:p w14:paraId="5AFCA70A" w14:textId="77777777" w:rsidR="002A5BA3" w:rsidRDefault="002A5BA3" w:rsidP="002A5BA3">
      <w:pPr>
        <w:tabs>
          <w:tab w:val="left" w:pos="2370"/>
        </w:tabs>
      </w:pPr>
    </w:p>
    <w:p w14:paraId="29A116C2" w14:textId="77777777" w:rsidR="002A5BA3" w:rsidRDefault="002A5BA3" w:rsidP="002A5BA3">
      <w:pPr>
        <w:tabs>
          <w:tab w:val="left" w:pos="2370"/>
        </w:tabs>
      </w:pPr>
    </w:p>
    <w:p w14:paraId="0E7EFB11" w14:textId="77777777" w:rsidR="009315DC" w:rsidRDefault="009315DC"/>
    <w:sectPr w:rsidR="009315DC" w:rsidSect="002D2632">
      <w:footerReference w:type="default" r:id="rId5"/>
      <w:headerReference w:type="first" r:id="rId6"/>
      <w:footerReference w:type="first" r:id="rId7"/>
      <w:pgSz w:w="11906" w:h="16838" w:code="9"/>
      <w:pgMar w:top="1049" w:right="1021" w:bottom="1418" w:left="2381" w:header="624" w:footer="61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2C813" w14:textId="77777777" w:rsidR="008A1ADB" w:rsidRPr="00F4437E" w:rsidRDefault="002A5BA3" w:rsidP="00F16431">
    <w:pPr>
      <w:pStyle w:val="Bezmezer"/>
      <w:spacing w:line="240" w:lineRule="exact"/>
      <w:ind w:hanging="1820"/>
    </w:pPr>
    <w:r w:rsidRPr="00F16431">
      <w:rPr>
        <w:w w:val="101"/>
        <w:sz w:val="18"/>
      </w:rPr>
      <w:fldChar w:fldCharType="begin"/>
    </w:r>
    <w:r w:rsidRPr="00F16431">
      <w:rPr>
        <w:w w:val="101"/>
        <w:sz w:val="18"/>
      </w:rPr>
      <w:instrText>PAGE  \* Arabic  \* MERGEFORMAT</w:instrText>
    </w:r>
    <w:r w:rsidRPr="00F16431">
      <w:rPr>
        <w:w w:val="101"/>
        <w:sz w:val="18"/>
      </w:rPr>
      <w:fldChar w:fldCharType="separate"/>
    </w:r>
    <w:r>
      <w:rPr>
        <w:noProof/>
        <w:w w:val="101"/>
        <w:sz w:val="18"/>
      </w:rPr>
      <w:t>4</w:t>
    </w:r>
    <w:r w:rsidRPr="00F16431">
      <w:rPr>
        <w:w w:val="101"/>
        <w:sz w:val="18"/>
      </w:rPr>
      <w:fldChar w:fldCharType="end"/>
    </w:r>
    <w:r w:rsidRPr="00F16431">
      <w:rPr>
        <w:w w:val="101"/>
        <w:sz w:val="18"/>
      </w:rPr>
      <w:t>/</w:t>
    </w:r>
    <w:r w:rsidRPr="00F16431">
      <w:rPr>
        <w:w w:val="101"/>
        <w:sz w:val="18"/>
      </w:rPr>
      <w:fldChar w:fldCharType="begin"/>
    </w:r>
    <w:r w:rsidRPr="00F16431">
      <w:rPr>
        <w:w w:val="101"/>
        <w:sz w:val="18"/>
      </w:rPr>
      <w:instrText>NUMPAGES  \* Arabic  \* MERGEFORMAT</w:instrText>
    </w:r>
    <w:r w:rsidRPr="00F16431">
      <w:rPr>
        <w:w w:val="101"/>
        <w:sz w:val="18"/>
      </w:rPr>
      <w:fldChar w:fldCharType="separate"/>
    </w:r>
    <w:r>
      <w:rPr>
        <w:noProof/>
        <w:w w:val="101"/>
        <w:sz w:val="18"/>
      </w:rPr>
      <w:t>6</w:t>
    </w:r>
    <w:r w:rsidRPr="00F16431">
      <w:rPr>
        <w:w w:val="101"/>
        <w:sz w:val="18"/>
      </w:rPr>
      <w:fldChar w:fldCharType="end"/>
    </w:r>
    <w:r>
      <w:rPr>
        <w:b/>
        <w:w w:val="101"/>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2C322" w14:textId="77777777" w:rsidR="008A1ADB" w:rsidRPr="00EB4CF5" w:rsidRDefault="002A5BA3" w:rsidP="00F16431">
    <w:pPr>
      <w:pStyle w:val="Zpat"/>
      <w:spacing w:line="240" w:lineRule="exact"/>
      <w:rPr>
        <w:w w:val="104"/>
        <w:sz w:val="18"/>
      </w:rPr>
    </w:pPr>
  </w:p>
  <w:p w14:paraId="2A04EAE9" w14:textId="77777777" w:rsidR="008A1ADB" w:rsidRPr="00EB4CF5" w:rsidRDefault="002A5BA3" w:rsidP="00F16431">
    <w:pPr>
      <w:pStyle w:val="Zpat"/>
      <w:spacing w:line="240" w:lineRule="exact"/>
      <w:ind w:hanging="1820"/>
      <w:rPr>
        <w:w w:val="106"/>
        <w:sz w:val="18"/>
      </w:rPr>
    </w:pPr>
    <w:r w:rsidRPr="001F06E7">
      <w:rPr>
        <w:bCs/>
        <w:w w:val="101"/>
        <w:sz w:val="18"/>
      </w:rPr>
      <w:fldChar w:fldCharType="begin"/>
    </w:r>
    <w:r w:rsidRPr="001F06E7">
      <w:rPr>
        <w:bCs/>
        <w:w w:val="101"/>
        <w:sz w:val="18"/>
      </w:rPr>
      <w:instrText>PAGE  \* Arabic  \* MERGEFORMAT</w:instrText>
    </w:r>
    <w:r w:rsidRPr="001F06E7">
      <w:rPr>
        <w:bCs/>
        <w:w w:val="101"/>
        <w:sz w:val="18"/>
      </w:rPr>
      <w:fldChar w:fldCharType="separate"/>
    </w:r>
    <w:r>
      <w:rPr>
        <w:bCs/>
        <w:noProof/>
        <w:w w:val="101"/>
        <w:sz w:val="18"/>
      </w:rPr>
      <w:t>1</w:t>
    </w:r>
    <w:r w:rsidRPr="001F06E7">
      <w:rPr>
        <w:bCs/>
        <w:w w:val="101"/>
        <w:sz w:val="18"/>
      </w:rPr>
      <w:fldChar w:fldCharType="end"/>
    </w:r>
    <w:r w:rsidRPr="001F06E7">
      <w:rPr>
        <w:w w:val="101"/>
        <w:sz w:val="18"/>
      </w:rPr>
      <w:t>/</w:t>
    </w:r>
    <w:r w:rsidRPr="001F06E7">
      <w:rPr>
        <w:bCs/>
        <w:w w:val="101"/>
        <w:sz w:val="18"/>
      </w:rPr>
      <w:fldChar w:fldCharType="begin"/>
    </w:r>
    <w:r w:rsidRPr="001F06E7">
      <w:rPr>
        <w:bCs/>
        <w:w w:val="101"/>
        <w:sz w:val="18"/>
      </w:rPr>
      <w:instrText>NUMPAGES  \* Arabic  \* MERGEFORMAT</w:instrText>
    </w:r>
    <w:r w:rsidRPr="001F06E7">
      <w:rPr>
        <w:bCs/>
        <w:w w:val="101"/>
        <w:sz w:val="18"/>
      </w:rPr>
      <w:fldChar w:fldCharType="separate"/>
    </w:r>
    <w:r>
      <w:rPr>
        <w:bCs/>
        <w:noProof/>
        <w:w w:val="101"/>
        <w:sz w:val="18"/>
      </w:rPr>
      <w:t>6</w:t>
    </w:r>
    <w:r w:rsidRPr="001F06E7">
      <w:rPr>
        <w:bCs/>
        <w:w w:val="101"/>
        <w:sz w:val="18"/>
      </w:rPr>
      <w:fldChar w:fldCharType="end"/>
    </w:r>
    <w:r>
      <w:rPr>
        <w:b/>
        <w:bCs/>
        <w:w w:val="101"/>
        <w:sz w:val="18"/>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84B70" w14:textId="77777777" w:rsidR="008A1ADB" w:rsidRDefault="002A5BA3" w:rsidP="003F563E">
    <w:pPr>
      <w:pStyle w:val="Zhlav"/>
      <w:spacing w:line="320" w:lineRule="exact"/>
    </w:pPr>
    <w:r>
      <w:rPr>
        <w:noProof/>
        <w:lang w:eastAsia="cs-CZ"/>
      </w:rPr>
      <w:drawing>
        <wp:anchor distT="0" distB="0" distL="114300" distR="114300" simplePos="0" relativeHeight="251659264" behindDoc="1" locked="0" layoutInCell="1" allowOverlap="1" wp14:anchorId="4474D425" wp14:editId="50FB6CCD">
          <wp:simplePos x="0" y="0"/>
          <wp:positionH relativeFrom="page">
            <wp:posOffset>360045</wp:posOffset>
          </wp:positionH>
          <wp:positionV relativeFrom="page">
            <wp:posOffset>420105</wp:posOffset>
          </wp:positionV>
          <wp:extent cx="899795" cy="878205"/>
          <wp:effectExtent l="0" t="0" r="0" b="0"/>
          <wp:wrapTight wrapText="bothSides">
            <wp:wrapPolygon edited="0">
              <wp:start x="0" y="0"/>
              <wp:lineTo x="0" y="21085"/>
              <wp:lineTo x="21036" y="21085"/>
              <wp:lineTo x="21036" y="0"/>
              <wp:lineTo x="0" y="0"/>
            </wp:wrapPolygon>
          </wp:wrapTight>
          <wp:docPr id="5"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878205"/>
                  </a:xfrm>
                  <a:prstGeom prst="rect">
                    <a:avLst/>
                  </a:prstGeom>
                  <a:noFill/>
                </pic:spPr>
              </pic:pic>
            </a:graphicData>
          </a:graphic>
          <wp14:sizeRelH relativeFrom="margin">
            <wp14:pctWidth>0</wp14:pctWidth>
          </wp14:sizeRelH>
          <wp14:sizeRelV relativeFrom="margin">
            <wp14:pctHeight>0</wp14:pctHeight>
          </wp14:sizeRelV>
        </wp:anchor>
      </w:drawing>
    </w:r>
  </w:p>
  <w:p w14:paraId="5A82EA84" w14:textId="77777777" w:rsidR="008A1ADB" w:rsidRDefault="002A5BA3" w:rsidP="003F563E">
    <w:pPr>
      <w:pStyle w:val="Zhlav"/>
      <w:spacing w:line="320" w:lineRule="exact"/>
    </w:pPr>
  </w:p>
  <w:p w14:paraId="6B6BBA45" w14:textId="77777777" w:rsidR="008A1ADB" w:rsidRDefault="002A5BA3" w:rsidP="003F563E">
    <w:pPr>
      <w:pStyle w:val="Zhlav"/>
      <w:spacing w:line="320" w:lineRule="exact"/>
    </w:pPr>
  </w:p>
  <w:p w14:paraId="1ED5CD9F" w14:textId="77777777" w:rsidR="008A1ADB" w:rsidRPr="0033332E" w:rsidRDefault="002A5BA3" w:rsidP="0033332E">
    <w:pPr>
      <w:pStyle w:val="Zhlav"/>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A3CDE"/>
    <w:multiLevelType w:val="hybridMultilevel"/>
    <w:tmpl w:val="01B01C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9D4663F"/>
    <w:multiLevelType w:val="hybridMultilevel"/>
    <w:tmpl w:val="AA2E104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BA3"/>
    <w:rsid w:val="002A5BA3"/>
    <w:rsid w:val="009315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A5935"/>
  <w15:chartTrackingRefBased/>
  <w15:docId w15:val="{9EDDA78F-3C58-4839-9FB7-F8BCE179B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8"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8"/>
    <w:qFormat/>
    <w:rsid w:val="002A5BA3"/>
    <w:pPr>
      <w:spacing w:after="0" w:line="320" w:lineRule="exact"/>
    </w:pPr>
    <w:rPr>
      <w:rFonts w:ascii="Times New Roman" w:eastAsia="Calibri" w:hAnsi="Times New Roman"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rsid w:val="002A5BA3"/>
    <w:pPr>
      <w:tabs>
        <w:tab w:val="center" w:pos="4536"/>
        <w:tab w:val="right" w:pos="9072"/>
      </w:tabs>
      <w:spacing w:line="240" w:lineRule="auto"/>
    </w:pPr>
  </w:style>
  <w:style w:type="character" w:customStyle="1" w:styleId="ZhlavChar">
    <w:name w:val="Záhlaví Char"/>
    <w:basedOn w:val="Standardnpsmoodstavce"/>
    <w:link w:val="Zhlav"/>
    <w:uiPriority w:val="99"/>
    <w:semiHidden/>
    <w:rsid w:val="002A5BA3"/>
    <w:rPr>
      <w:rFonts w:ascii="Times New Roman" w:eastAsia="Calibri" w:hAnsi="Times New Roman" w:cs="Times New Roman"/>
    </w:rPr>
  </w:style>
  <w:style w:type="paragraph" w:styleId="Zpat">
    <w:name w:val="footer"/>
    <w:basedOn w:val="Normln"/>
    <w:link w:val="ZpatChar"/>
    <w:uiPriority w:val="99"/>
    <w:semiHidden/>
    <w:rsid w:val="002A5BA3"/>
    <w:pPr>
      <w:tabs>
        <w:tab w:val="center" w:pos="4536"/>
        <w:tab w:val="right" w:pos="9072"/>
      </w:tabs>
      <w:spacing w:line="240" w:lineRule="auto"/>
    </w:pPr>
  </w:style>
  <w:style w:type="character" w:customStyle="1" w:styleId="ZpatChar">
    <w:name w:val="Zápatí Char"/>
    <w:basedOn w:val="Standardnpsmoodstavce"/>
    <w:link w:val="Zpat"/>
    <w:uiPriority w:val="99"/>
    <w:semiHidden/>
    <w:rsid w:val="002A5BA3"/>
    <w:rPr>
      <w:rFonts w:ascii="Times New Roman" w:eastAsia="Calibri" w:hAnsi="Times New Roman" w:cs="Times New Roman"/>
    </w:rPr>
  </w:style>
  <w:style w:type="paragraph" w:styleId="Bezmezer">
    <w:name w:val="No Spacing"/>
    <w:link w:val="BezmezerChar"/>
    <w:qFormat/>
    <w:rsid w:val="002A5BA3"/>
    <w:pPr>
      <w:spacing w:after="0" w:line="320" w:lineRule="exact"/>
      <w:jc w:val="both"/>
    </w:pPr>
    <w:rPr>
      <w:rFonts w:ascii="Times New Roman" w:eastAsia="Calibri" w:hAnsi="Times New Roman" w:cs="Times New Roman"/>
    </w:rPr>
  </w:style>
  <w:style w:type="character" w:customStyle="1" w:styleId="BezmezerChar">
    <w:name w:val="Bez mezer Char"/>
    <w:link w:val="Bezmezer"/>
    <w:rsid w:val="002A5BA3"/>
    <w:rPr>
      <w:rFonts w:ascii="Times New Roman" w:eastAsia="Calibri" w:hAnsi="Times New Roman" w:cs="Times New Roman"/>
    </w:rPr>
  </w:style>
  <w:style w:type="paragraph" w:customStyle="1" w:styleId="ZhlavGM">
    <w:name w:val="Záhlaví GM"/>
    <w:basedOn w:val="Zhlav"/>
    <w:link w:val="ZhlavGMChar"/>
    <w:qFormat/>
    <w:rsid w:val="002A5BA3"/>
    <w:pPr>
      <w:spacing w:line="320" w:lineRule="exact"/>
    </w:pPr>
    <w:rPr>
      <w:rFonts w:eastAsia="Times New Roman"/>
      <w:spacing w:val="10"/>
      <w:szCs w:val="24"/>
      <w:lang w:eastAsia="cs-CZ"/>
    </w:rPr>
  </w:style>
  <w:style w:type="character" w:customStyle="1" w:styleId="ZhlavGMChar">
    <w:name w:val="Záhlaví GM Char"/>
    <w:link w:val="ZhlavGM"/>
    <w:rsid w:val="002A5BA3"/>
    <w:rPr>
      <w:rFonts w:ascii="Times New Roman" w:eastAsia="Times New Roman" w:hAnsi="Times New Roman" w:cs="Times New Roman"/>
      <w:spacing w:val="10"/>
      <w:szCs w:val="24"/>
      <w:lang w:eastAsia="cs-CZ"/>
    </w:rPr>
  </w:style>
  <w:style w:type="paragraph" w:customStyle="1" w:styleId="PID2">
    <w:name w:val="PID2"/>
    <w:basedOn w:val="Normln"/>
    <w:link w:val="PID2Char"/>
    <w:qFormat/>
    <w:rsid w:val="002A5BA3"/>
    <w:pPr>
      <w:framePr w:hSpace="142" w:wrap="around" w:vAnchor="page" w:hAnchor="margin" w:xAlign="right" w:y="704"/>
      <w:spacing w:line="240" w:lineRule="auto"/>
      <w:suppressOverlap/>
      <w:jc w:val="center"/>
    </w:pPr>
    <w:rPr>
      <w:rFonts w:cs="Arial"/>
      <w:szCs w:val="20"/>
      <w:lang w:eastAsia="cs-CZ"/>
    </w:rPr>
  </w:style>
  <w:style w:type="character" w:customStyle="1" w:styleId="PID2Char">
    <w:name w:val="PID2 Char"/>
    <w:link w:val="PID2"/>
    <w:rsid w:val="002A5BA3"/>
    <w:rPr>
      <w:rFonts w:ascii="Times New Roman" w:eastAsia="Calibri" w:hAnsi="Times New Roman" w:cs="Arial"/>
      <w:szCs w:val="20"/>
      <w:lang w:eastAsia="cs-CZ"/>
    </w:rPr>
  </w:style>
  <w:style w:type="paragraph" w:styleId="Zkladntext">
    <w:name w:val="Body Text"/>
    <w:basedOn w:val="Normln"/>
    <w:link w:val="ZkladntextChar"/>
    <w:rsid w:val="002A5BA3"/>
    <w:pPr>
      <w:spacing w:line="240" w:lineRule="auto"/>
    </w:pPr>
    <w:rPr>
      <w:rFonts w:eastAsia="Times New Roman"/>
      <w:b/>
      <w:bCs/>
      <w:sz w:val="28"/>
      <w:szCs w:val="28"/>
      <w:lang w:eastAsia="cs-CZ"/>
    </w:rPr>
  </w:style>
  <w:style w:type="character" w:customStyle="1" w:styleId="ZkladntextChar">
    <w:name w:val="Základní text Char"/>
    <w:basedOn w:val="Standardnpsmoodstavce"/>
    <w:link w:val="Zkladntext"/>
    <w:rsid w:val="002A5BA3"/>
    <w:rPr>
      <w:rFonts w:ascii="Times New Roman" w:eastAsia="Times New Roman" w:hAnsi="Times New Roman" w:cs="Times New Roman"/>
      <w:b/>
      <w:bCs/>
      <w:sz w:val="28"/>
      <w:szCs w:val="28"/>
      <w:lang w:eastAsia="cs-CZ"/>
    </w:rPr>
  </w:style>
  <w:style w:type="paragraph" w:styleId="Odstavecseseznamem">
    <w:name w:val="List Paragraph"/>
    <w:basedOn w:val="Normln"/>
    <w:uiPriority w:val="34"/>
    <w:qFormat/>
    <w:rsid w:val="002A5BA3"/>
    <w:pPr>
      <w:spacing w:after="160" w:line="252" w:lineRule="auto"/>
      <w:ind w:left="720"/>
      <w:contextualSpacing/>
    </w:pPr>
    <w:rPr>
      <w:rFonts w:ascii="Calibri" w:eastAsiaTheme="minorHAnsi" w:hAnsi="Calibri" w:cs="Calibri"/>
    </w:rPr>
  </w:style>
  <w:style w:type="table" w:styleId="Mkatabulky">
    <w:name w:val="Table Grid"/>
    <w:basedOn w:val="Normlntabulka"/>
    <w:uiPriority w:val="39"/>
    <w:rsid w:val="002A5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1bNoEnterB">
    <w:name w:val="Odstavec1b_NoEnterB"/>
    <w:basedOn w:val="Normln"/>
    <w:rsid w:val="002A5BA3"/>
    <w:pPr>
      <w:tabs>
        <w:tab w:val="left" w:pos="720"/>
      </w:tabs>
      <w:overflowPunct w:val="0"/>
      <w:autoSpaceDE w:val="0"/>
      <w:autoSpaceDN w:val="0"/>
      <w:adjustRightInd w:val="0"/>
      <w:spacing w:before="120" w:after="120" w:line="240" w:lineRule="auto"/>
      <w:ind w:left="680"/>
      <w:jc w:val="both"/>
      <w:textAlignment w:val="baseline"/>
    </w:pPr>
    <w:rPr>
      <w:rFonts w:ascii="Arial" w:eastAsia="Times New Roman" w:hAnsi="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1200</Words>
  <Characters>7083</Characters>
  <Application>Microsoft Office Word</Application>
  <DocSecurity>0</DocSecurity>
  <Lines>59</Lines>
  <Paragraphs>16</Paragraphs>
  <ScaleCrop>false</ScaleCrop>
  <Company>MHMP</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Hakenová Kateřina (MHMP, KUC)</dc:creator>
  <cp:keywords/>
  <dc:description/>
  <cp:lastModifiedBy>Hakenová Kateřina (MHMP, KUC)</cp:lastModifiedBy>
  <cp:revision>1</cp:revision>
  <dcterms:created xsi:type="dcterms:W3CDTF">2022-06-29T09:52:00Z</dcterms:created>
  <dcterms:modified xsi:type="dcterms:W3CDTF">2022-06-29T09:55:00Z</dcterms:modified>
</cp:coreProperties>
</file>