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E6" w:rsidRPr="005E2DDE" w:rsidRDefault="006C06E6" w:rsidP="00E47572">
      <w:pPr>
        <w:pStyle w:val="Bezmezer"/>
        <w:spacing w:line="276" w:lineRule="auto"/>
        <w:jc w:val="both"/>
        <w:rPr>
          <w:rFonts w:ascii="Arial" w:hAnsi="Arial" w:cs="Arial"/>
          <w:u w:val="single"/>
        </w:rPr>
      </w:pPr>
    </w:p>
    <w:p w:rsidR="005E2DDE" w:rsidRDefault="005E2DDE" w:rsidP="00E47572">
      <w:pPr>
        <w:pStyle w:val="Bezmezer"/>
        <w:spacing w:line="276" w:lineRule="auto"/>
        <w:jc w:val="both"/>
        <w:rPr>
          <w:rFonts w:ascii="Arial" w:hAnsi="Arial" w:cs="Arial"/>
        </w:rPr>
      </w:pPr>
      <w:r w:rsidRPr="003137C5">
        <w:rPr>
          <w:rFonts w:ascii="Arial" w:hAnsi="Arial" w:cs="Arial"/>
          <w:b/>
          <w:u w:val="single"/>
        </w:rPr>
        <w:t>Povinné přílohy žádosti o dotaci (poskytovatel sociální služby podá prostřednictvím internetové aplikace OK služby – Poskytovatel</w:t>
      </w:r>
      <w:r>
        <w:rPr>
          <w:rFonts w:ascii="Arial" w:hAnsi="Arial" w:cs="Arial"/>
          <w:b/>
          <w:u w:val="single"/>
        </w:rPr>
        <w:t>; bez povinných příloh nelze žádost podat</w:t>
      </w:r>
      <w:r w:rsidRPr="003137C5">
        <w:rPr>
          <w:rFonts w:ascii="Arial" w:hAnsi="Arial" w:cs="Arial"/>
          <w:b/>
          <w:u w:val="single"/>
        </w:rPr>
        <w:t>)</w:t>
      </w:r>
    </w:p>
    <w:p w:rsidR="005E2DDE" w:rsidRDefault="005E2DDE" w:rsidP="00E47572">
      <w:pPr>
        <w:pStyle w:val="Bezmezer"/>
        <w:spacing w:line="276" w:lineRule="auto"/>
        <w:jc w:val="both"/>
        <w:rPr>
          <w:rFonts w:ascii="Arial" w:hAnsi="Arial" w:cs="Arial"/>
        </w:rPr>
      </w:pPr>
    </w:p>
    <w:p w:rsidR="005E2DDE" w:rsidRPr="003137C5" w:rsidRDefault="005E2DDE" w:rsidP="005E2DDE">
      <w:pPr>
        <w:pStyle w:val="Bezmezer"/>
        <w:numPr>
          <w:ilvl w:val="0"/>
          <w:numId w:val="3"/>
        </w:numPr>
        <w:spacing w:line="276" w:lineRule="auto"/>
        <w:jc w:val="both"/>
        <w:rPr>
          <w:rFonts w:ascii="Arial" w:hAnsi="Arial" w:cs="Arial"/>
          <w:b/>
        </w:rPr>
      </w:pPr>
      <w:r w:rsidRPr="003137C5">
        <w:rPr>
          <w:rFonts w:ascii="Arial" w:hAnsi="Arial" w:cs="Arial"/>
          <w:b/>
        </w:rPr>
        <w:t xml:space="preserve">Aktuální popis činnosti služby </w:t>
      </w:r>
    </w:p>
    <w:p w:rsidR="005E2DDE" w:rsidRPr="003137C5" w:rsidRDefault="005E2DDE" w:rsidP="005E2DDE">
      <w:pPr>
        <w:pStyle w:val="Bezmezer"/>
        <w:spacing w:line="276" w:lineRule="auto"/>
        <w:jc w:val="both"/>
        <w:rPr>
          <w:rFonts w:ascii="Arial" w:hAnsi="Arial" w:cs="Arial"/>
        </w:rPr>
      </w:pPr>
      <w:r w:rsidRPr="003137C5">
        <w:rPr>
          <w:rFonts w:ascii="Arial" w:hAnsi="Arial" w:cs="Arial"/>
        </w:rPr>
        <w:t>Aktuální popis realizace služby, případná specifika v poskytování sociální služby (tak jak by mělo být uvedeno ve veřejném registru poskytovatelů sociálních služeb). Formát přílohy – PDF.</w:t>
      </w:r>
    </w:p>
    <w:p w:rsidR="005E2DDE" w:rsidRPr="003137C5" w:rsidRDefault="005E2DDE" w:rsidP="005E2DDE">
      <w:pPr>
        <w:pStyle w:val="Bezmezer"/>
        <w:spacing w:line="276" w:lineRule="auto"/>
        <w:jc w:val="both"/>
        <w:rPr>
          <w:rFonts w:ascii="Arial" w:hAnsi="Arial" w:cs="Arial"/>
        </w:rPr>
      </w:pPr>
    </w:p>
    <w:p w:rsidR="005E2DDE" w:rsidRPr="003137C5" w:rsidRDefault="005E2DDE" w:rsidP="005E2DDE">
      <w:pPr>
        <w:pStyle w:val="Bezmezer"/>
        <w:numPr>
          <w:ilvl w:val="0"/>
          <w:numId w:val="3"/>
        </w:numPr>
        <w:spacing w:line="276" w:lineRule="auto"/>
        <w:jc w:val="both"/>
        <w:rPr>
          <w:rFonts w:ascii="Arial" w:hAnsi="Arial" w:cs="Arial"/>
          <w:b/>
        </w:rPr>
      </w:pPr>
      <w:r w:rsidRPr="003137C5">
        <w:rPr>
          <w:rFonts w:ascii="Arial" w:hAnsi="Arial" w:cs="Arial"/>
          <w:b/>
        </w:rPr>
        <w:t xml:space="preserve">Personální zajištění služby </w:t>
      </w:r>
    </w:p>
    <w:p w:rsidR="005E2DDE" w:rsidRPr="003137C5" w:rsidRDefault="005E2DDE" w:rsidP="005E2DDE">
      <w:pPr>
        <w:pStyle w:val="Bezmezer"/>
        <w:spacing w:line="276" w:lineRule="auto"/>
        <w:jc w:val="both"/>
        <w:rPr>
          <w:rFonts w:ascii="Arial" w:hAnsi="Arial" w:cs="Arial"/>
        </w:rPr>
      </w:pPr>
      <w:r w:rsidRPr="003137C5">
        <w:rPr>
          <w:rFonts w:ascii="Arial" w:hAnsi="Arial" w:cs="Arial"/>
        </w:rPr>
        <w:t>Aktuální (skutečné) personální zajištění sociální služby (tak jak by mělo být uvedeno ve veřejném registru poskytovatelů sociálních služeb). Formát přílohy – PDF.</w:t>
      </w:r>
    </w:p>
    <w:p w:rsidR="005E2DDE" w:rsidRPr="003137C5" w:rsidRDefault="005E2DDE" w:rsidP="005E2DDE">
      <w:pPr>
        <w:pStyle w:val="Bezmezer"/>
        <w:spacing w:line="276" w:lineRule="auto"/>
        <w:jc w:val="both"/>
        <w:rPr>
          <w:rFonts w:ascii="Arial" w:hAnsi="Arial" w:cs="Arial"/>
        </w:rPr>
      </w:pPr>
    </w:p>
    <w:p w:rsidR="005E2DDE" w:rsidRPr="003137C5" w:rsidRDefault="005E2DDE" w:rsidP="005E2DDE">
      <w:pPr>
        <w:pStyle w:val="Bezmezer"/>
        <w:numPr>
          <w:ilvl w:val="0"/>
          <w:numId w:val="3"/>
        </w:numPr>
        <w:spacing w:line="276" w:lineRule="auto"/>
        <w:jc w:val="both"/>
        <w:rPr>
          <w:rFonts w:ascii="Arial" w:hAnsi="Arial" w:cs="Arial"/>
          <w:b/>
        </w:rPr>
      </w:pPr>
      <w:r w:rsidRPr="003137C5">
        <w:rPr>
          <w:rFonts w:ascii="Arial" w:hAnsi="Arial" w:cs="Arial"/>
          <w:b/>
        </w:rPr>
        <w:t xml:space="preserve">Statistická data (výkazy) sociální služby za roky  2013 a 2014 </w:t>
      </w:r>
    </w:p>
    <w:p w:rsidR="005E2DDE" w:rsidRPr="003137C5" w:rsidRDefault="005E2DDE" w:rsidP="005E2DDE">
      <w:pPr>
        <w:pStyle w:val="Bezmezer"/>
        <w:spacing w:line="276" w:lineRule="auto"/>
        <w:jc w:val="both"/>
        <w:rPr>
          <w:rFonts w:ascii="Arial" w:hAnsi="Arial" w:cs="Arial"/>
        </w:rPr>
      </w:pPr>
      <w:r>
        <w:rPr>
          <w:rFonts w:ascii="Arial" w:hAnsi="Arial" w:cs="Arial"/>
        </w:rPr>
        <w:t>Přiložený dokument musí obsahovat t</w:t>
      </w:r>
      <w:r w:rsidRPr="003137C5">
        <w:rPr>
          <w:rFonts w:ascii="Arial" w:hAnsi="Arial" w:cs="Arial"/>
        </w:rPr>
        <w:t>abulk</w:t>
      </w:r>
      <w:r>
        <w:rPr>
          <w:rFonts w:ascii="Arial" w:hAnsi="Arial" w:cs="Arial"/>
        </w:rPr>
        <w:t>u</w:t>
      </w:r>
      <w:r w:rsidRPr="003137C5">
        <w:rPr>
          <w:rFonts w:ascii="Arial" w:hAnsi="Arial" w:cs="Arial"/>
        </w:rPr>
        <w:t xml:space="preserve"> nákladů sociální služby (dle statistického výkazu pro rok 2013)</w:t>
      </w:r>
      <w:r>
        <w:rPr>
          <w:rFonts w:ascii="Arial" w:hAnsi="Arial" w:cs="Arial"/>
        </w:rPr>
        <w:t>, ta</w:t>
      </w:r>
      <w:r w:rsidRPr="003137C5">
        <w:rPr>
          <w:rFonts w:ascii="Arial" w:hAnsi="Arial" w:cs="Arial"/>
        </w:rPr>
        <w:t>bulku výnosů sociální služby (dle statistického výkazu pro rok 2013)</w:t>
      </w:r>
      <w:r>
        <w:rPr>
          <w:rFonts w:ascii="Arial" w:hAnsi="Arial" w:cs="Arial"/>
        </w:rPr>
        <w:t xml:space="preserve"> a tabulku kapacit s ohledem na druh poskytované sociální služby.</w:t>
      </w:r>
    </w:p>
    <w:p w:rsidR="005E2DDE" w:rsidRDefault="005E2DDE" w:rsidP="005E2DDE">
      <w:pPr>
        <w:pStyle w:val="Bezmezer"/>
        <w:spacing w:line="276" w:lineRule="auto"/>
        <w:jc w:val="both"/>
        <w:rPr>
          <w:rFonts w:ascii="Arial" w:hAnsi="Arial" w:cs="Arial"/>
        </w:rPr>
      </w:pPr>
    </w:p>
    <w:p w:rsidR="005E2DDE" w:rsidRPr="001F5AE4" w:rsidRDefault="005E2DDE" w:rsidP="005E2DDE">
      <w:pPr>
        <w:pStyle w:val="Bezmezer"/>
        <w:spacing w:line="276" w:lineRule="auto"/>
        <w:ind w:left="708"/>
        <w:jc w:val="both"/>
        <w:rPr>
          <w:rFonts w:ascii="Arial" w:hAnsi="Arial" w:cs="Arial"/>
          <w:b/>
          <w:i/>
          <w:sz w:val="16"/>
          <w:szCs w:val="16"/>
          <w:u w:val="single"/>
        </w:rPr>
      </w:pPr>
      <w:r w:rsidRPr="001F5AE4">
        <w:rPr>
          <w:rFonts w:ascii="Arial" w:hAnsi="Arial" w:cs="Arial"/>
          <w:b/>
          <w:i/>
          <w:sz w:val="16"/>
          <w:szCs w:val="16"/>
          <w:u w:val="single"/>
        </w:rPr>
        <w:t>Vzor podoby tabulky kapacit</w:t>
      </w:r>
      <w:r>
        <w:rPr>
          <w:rFonts w:ascii="Arial" w:hAnsi="Arial" w:cs="Arial"/>
          <w:b/>
          <w:i/>
          <w:sz w:val="16"/>
          <w:szCs w:val="16"/>
          <w:u w:val="single"/>
        </w:rPr>
        <w:t xml:space="preserve"> (dle jednotlivých druhů sociálních služeb)</w:t>
      </w:r>
    </w:p>
    <w:p w:rsidR="005E2DDE" w:rsidRPr="001F5AE4" w:rsidRDefault="005E2DDE" w:rsidP="005E2DDE">
      <w:pPr>
        <w:pStyle w:val="Bezmezer"/>
        <w:spacing w:line="276" w:lineRule="auto"/>
        <w:ind w:left="708"/>
        <w:jc w:val="both"/>
        <w:rPr>
          <w:rFonts w:ascii="Arial" w:hAnsi="Arial" w:cs="Arial"/>
          <w:sz w:val="16"/>
          <w:szCs w:val="16"/>
        </w:rPr>
      </w:pPr>
      <w:r w:rsidRPr="001F5AE4">
        <w:rPr>
          <w:rFonts w:ascii="Arial" w:hAnsi="Arial" w:cs="Arial"/>
          <w:sz w:val="16"/>
          <w:szCs w:val="16"/>
        </w:rPr>
        <w:t>Tabulka kapacit pro následující druhy sociálních služeb: osobní asistence, pečovatelská služba, podpora samostatného bydlení, průvodcovské a předčitatelské služby, kontaktní centra, raná péče, telefonická krizová péče, tlumočnické služby, sociálně aktivizační služby pro rodiny s dětmi, sociálně aktivizační služby pro seniory a osoby se zdravotním postižením, intervenční centra, odborné sociální poradenství</w:t>
      </w:r>
    </w:p>
    <w:tbl>
      <w:tblPr>
        <w:tblStyle w:val="Mkatabulky"/>
        <w:tblpPr w:leftFromText="141" w:rightFromText="141" w:vertAnchor="text" w:horzAnchor="margin" w:tblpX="1317" w:tblpY="201"/>
        <w:tblW w:w="0" w:type="auto"/>
        <w:tblInd w:w="0" w:type="dxa"/>
        <w:tblLook w:val="04A0" w:firstRow="1" w:lastRow="0" w:firstColumn="1" w:lastColumn="0" w:noHBand="0" w:noVBand="1"/>
      </w:tblPr>
      <w:tblGrid>
        <w:gridCol w:w="670"/>
        <w:gridCol w:w="1691"/>
        <w:gridCol w:w="1691"/>
        <w:gridCol w:w="1692"/>
        <w:gridCol w:w="1601"/>
      </w:tblGrid>
      <w:tr w:rsidR="005E2DDE" w:rsidRPr="001F5AE4" w:rsidTr="009C2AEF">
        <w:trPr>
          <w:trHeight w:val="399"/>
        </w:trPr>
        <w:tc>
          <w:tcPr>
            <w:tcW w:w="39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69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69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69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60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48"/>
        </w:trPr>
        <w:tc>
          <w:tcPr>
            <w:tcW w:w="392"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69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tc>
        <w:tc>
          <w:tcPr>
            <w:tcW w:w="169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69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60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14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69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hodin přímé práce / rok</w:t>
            </w:r>
          </w:p>
        </w:tc>
        <w:tc>
          <w:tcPr>
            <w:tcW w:w="169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69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60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Pr="001F5AE4" w:rsidRDefault="005E2DDE" w:rsidP="005E2DDE">
      <w:pPr>
        <w:pStyle w:val="Bezmezer"/>
        <w:spacing w:line="276" w:lineRule="auto"/>
        <w:jc w:val="both"/>
        <w:rPr>
          <w:rFonts w:ascii="Arial" w:hAnsi="Arial" w:cs="Arial"/>
          <w:sz w:val="16"/>
          <w:szCs w:val="16"/>
        </w:rPr>
      </w:pPr>
    </w:p>
    <w:p w:rsidR="005E2DDE" w:rsidRPr="001F5AE4"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ind w:left="708"/>
        <w:jc w:val="both"/>
        <w:rPr>
          <w:rFonts w:ascii="Arial" w:hAnsi="Arial" w:cs="Arial"/>
          <w:sz w:val="16"/>
          <w:szCs w:val="16"/>
        </w:rPr>
      </w:pPr>
    </w:p>
    <w:p w:rsidR="005E2DDE" w:rsidRPr="001F5AE4" w:rsidRDefault="005E2DDE" w:rsidP="005E2DDE">
      <w:pPr>
        <w:pStyle w:val="Bezmezer"/>
        <w:spacing w:line="276" w:lineRule="auto"/>
        <w:ind w:left="708"/>
        <w:jc w:val="both"/>
        <w:rPr>
          <w:rFonts w:ascii="Arial" w:hAnsi="Arial" w:cs="Arial"/>
          <w:sz w:val="16"/>
          <w:szCs w:val="16"/>
        </w:rPr>
      </w:pPr>
      <w:r w:rsidRPr="001F5AE4">
        <w:rPr>
          <w:rFonts w:ascii="Arial" w:hAnsi="Arial" w:cs="Arial"/>
          <w:sz w:val="16"/>
          <w:szCs w:val="16"/>
        </w:rPr>
        <w:t xml:space="preserve">Tabulka kapacit pro následující druhy služeb: domovy pro osoby se zdravotním postižením, domovy pro seniory, domovy se zvláštním režimem, chráněné bydlení, sociální služby poskytované ve zdravotnických zařízeních ústavní péče, týdenní stacionáře, azylové domy, domy na půl cesty, noclehárny, terapeutické komunity  </w:t>
      </w:r>
    </w:p>
    <w:tbl>
      <w:tblPr>
        <w:tblStyle w:val="Mkatabulky"/>
        <w:tblpPr w:leftFromText="141" w:rightFromText="141" w:vertAnchor="text" w:horzAnchor="margin" w:tblpX="1351" w:tblpY="201"/>
        <w:tblW w:w="0" w:type="auto"/>
        <w:tblInd w:w="0" w:type="dxa"/>
        <w:tblLook w:val="04A0" w:firstRow="1" w:lastRow="0" w:firstColumn="1" w:lastColumn="0" w:noHBand="0" w:noVBand="1"/>
      </w:tblPr>
      <w:tblGrid>
        <w:gridCol w:w="670"/>
        <w:gridCol w:w="1842"/>
        <w:gridCol w:w="1842"/>
        <w:gridCol w:w="1843"/>
        <w:gridCol w:w="1141"/>
      </w:tblGrid>
      <w:tr w:rsidR="005E2DDE" w:rsidRPr="001F5AE4" w:rsidTr="009C2AEF">
        <w:tc>
          <w:tcPr>
            <w:tcW w:w="670"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843"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14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58"/>
        </w:trPr>
        <w:tc>
          <w:tcPr>
            <w:tcW w:w="670"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157"/>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lůžek</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Pr="001F5AE4" w:rsidRDefault="005E2DDE" w:rsidP="005E2DDE">
      <w:pPr>
        <w:pStyle w:val="Bezmezer"/>
        <w:spacing w:line="276" w:lineRule="auto"/>
        <w:jc w:val="both"/>
        <w:rPr>
          <w:rFonts w:ascii="Arial" w:hAnsi="Arial" w:cs="Arial"/>
          <w:b/>
          <w:sz w:val="16"/>
          <w:szCs w:val="16"/>
        </w:rPr>
      </w:pPr>
    </w:p>
    <w:p w:rsidR="005E2DDE" w:rsidRPr="001F5AE4" w:rsidRDefault="005E2DDE" w:rsidP="005E2DDE">
      <w:pPr>
        <w:pStyle w:val="Bezmezer"/>
        <w:spacing w:line="276" w:lineRule="auto"/>
        <w:jc w:val="both"/>
        <w:rPr>
          <w:rFonts w:ascii="Arial" w:hAnsi="Arial" w:cs="Arial"/>
          <w:b/>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ind w:left="708"/>
        <w:jc w:val="both"/>
        <w:rPr>
          <w:rFonts w:ascii="Arial" w:hAnsi="Arial" w:cs="Arial"/>
          <w:sz w:val="16"/>
          <w:szCs w:val="16"/>
        </w:rPr>
      </w:pPr>
    </w:p>
    <w:p w:rsidR="005E2DDE" w:rsidRPr="001F5AE4" w:rsidRDefault="005E2DDE" w:rsidP="005E2DDE">
      <w:pPr>
        <w:pStyle w:val="Bezmezer"/>
        <w:spacing w:line="276" w:lineRule="auto"/>
        <w:ind w:left="708"/>
        <w:jc w:val="both"/>
        <w:rPr>
          <w:rFonts w:ascii="Arial" w:hAnsi="Arial" w:cs="Arial"/>
          <w:sz w:val="16"/>
          <w:szCs w:val="16"/>
        </w:rPr>
      </w:pPr>
      <w:r w:rsidRPr="001F5AE4">
        <w:rPr>
          <w:rFonts w:ascii="Arial" w:hAnsi="Arial" w:cs="Arial"/>
          <w:sz w:val="16"/>
          <w:szCs w:val="16"/>
        </w:rPr>
        <w:t>Tabulka kapacit pro následující druhy služeb: centra denních služeb, denní stacionáře, nízkoprahová zařízení pro děti a mládež, sociálně terapeutické dílny, terénní programy</w:t>
      </w:r>
    </w:p>
    <w:tbl>
      <w:tblPr>
        <w:tblStyle w:val="Mkatabulky"/>
        <w:tblpPr w:leftFromText="141" w:rightFromText="141" w:vertAnchor="text" w:horzAnchor="margin" w:tblpX="1351" w:tblpY="201"/>
        <w:tblW w:w="0" w:type="auto"/>
        <w:tblInd w:w="0" w:type="dxa"/>
        <w:tblLook w:val="04A0" w:firstRow="1" w:lastRow="0" w:firstColumn="1" w:lastColumn="0" w:noHBand="0" w:noVBand="1"/>
      </w:tblPr>
      <w:tblGrid>
        <w:gridCol w:w="670"/>
        <w:gridCol w:w="1842"/>
        <w:gridCol w:w="1842"/>
        <w:gridCol w:w="1843"/>
        <w:gridCol w:w="1141"/>
      </w:tblGrid>
      <w:tr w:rsidR="005E2DDE" w:rsidRPr="001F5AE4" w:rsidTr="009C2AEF">
        <w:tc>
          <w:tcPr>
            <w:tcW w:w="670"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843"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14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58"/>
        </w:trPr>
        <w:tc>
          <w:tcPr>
            <w:tcW w:w="670"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Maximální denní kapacita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Průměrná denní kapacita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hodin přímé práce / rok</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Pr="001F5AE4" w:rsidRDefault="005E2DDE" w:rsidP="005E2DDE">
      <w:pPr>
        <w:pStyle w:val="Bezmezer"/>
        <w:spacing w:line="276" w:lineRule="auto"/>
        <w:jc w:val="both"/>
        <w:rPr>
          <w:rFonts w:ascii="Arial" w:hAnsi="Arial" w:cs="Arial"/>
          <w:sz w:val="16"/>
          <w:szCs w:val="16"/>
        </w:rPr>
      </w:pPr>
    </w:p>
    <w:p w:rsidR="005E2DDE" w:rsidRPr="001F5AE4"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CF20E5" w:rsidRDefault="00834E97" w:rsidP="005E2DDE">
      <w:pPr>
        <w:pStyle w:val="Bezmezer"/>
        <w:spacing w:line="276" w:lineRule="auto"/>
        <w:ind w:firstLine="708"/>
        <w:jc w:val="both"/>
        <w:rPr>
          <w:rFonts w:ascii="Arial" w:hAnsi="Arial" w:cs="Arial"/>
          <w:sz w:val="16"/>
          <w:szCs w:val="16"/>
        </w:rPr>
      </w:pPr>
      <w:r>
        <w:rPr>
          <w:rFonts w:ascii="Arial" w:hAnsi="Arial" w:cs="Arial"/>
          <w:sz w:val="16"/>
          <w:szCs w:val="16"/>
        </w:rPr>
        <w:br/>
      </w:r>
      <w:r>
        <w:rPr>
          <w:rFonts w:ascii="Arial" w:hAnsi="Arial" w:cs="Arial"/>
          <w:sz w:val="16"/>
          <w:szCs w:val="16"/>
        </w:rPr>
        <w:br/>
      </w:r>
    </w:p>
    <w:p w:rsidR="005E2DDE" w:rsidRPr="001F5AE4" w:rsidRDefault="005E2DDE" w:rsidP="005E2DDE">
      <w:pPr>
        <w:pStyle w:val="Bezmezer"/>
        <w:spacing w:line="276" w:lineRule="auto"/>
        <w:ind w:firstLine="708"/>
        <w:jc w:val="both"/>
        <w:rPr>
          <w:rFonts w:ascii="Arial" w:hAnsi="Arial" w:cs="Arial"/>
          <w:sz w:val="16"/>
          <w:szCs w:val="16"/>
        </w:rPr>
      </w:pPr>
      <w:r w:rsidRPr="001F5AE4">
        <w:rPr>
          <w:rFonts w:ascii="Arial" w:hAnsi="Arial" w:cs="Arial"/>
          <w:sz w:val="16"/>
          <w:szCs w:val="16"/>
        </w:rPr>
        <w:t xml:space="preserve">Tabulka kapacit pro následující služby: nízkoprahová denní centra </w:t>
      </w:r>
    </w:p>
    <w:tbl>
      <w:tblPr>
        <w:tblStyle w:val="Mkatabulky"/>
        <w:tblpPr w:leftFromText="141" w:rightFromText="141" w:vertAnchor="text" w:horzAnchor="margin" w:tblpX="1351" w:tblpY="201"/>
        <w:tblW w:w="0" w:type="auto"/>
        <w:tblInd w:w="0" w:type="dxa"/>
        <w:tblLook w:val="04A0" w:firstRow="1" w:lastRow="0" w:firstColumn="1" w:lastColumn="0" w:noHBand="0" w:noVBand="1"/>
      </w:tblPr>
      <w:tblGrid>
        <w:gridCol w:w="670"/>
        <w:gridCol w:w="1842"/>
        <w:gridCol w:w="1842"/>
        <w:gridCol w:w="1843"/>
        <w:gridCol w:w="1141"/>
      </w:tblGrid>
      <w:tr w:rsidR="005E2DDE" w:rsidRPr="001F5AE4" w:rsidTr="009C2AEF">
        <w:tc>
          <w:tcPr>
            <w:tcW w:w="670"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843"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14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58"/>
        </w:trPr>
        <w:tc>
          <w:tcPr>
            <w:tcW w:w="670"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Maximální denní kapacita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Průměrná denní kapacita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Pr="001F5AE4" w:rsidRDefault="005E2DDE" w:rsidP="005E2DDE">
      <w:pPr>
        <w:pStyle w:val="Bezmezer"/>
        <w:spacing w:line="276" w:lineRule="auto"/>
        <w:jc w:val="both"/>
        <w:rPr>
          <w:rFonts w:ascii="Arial" w:hAnsi="Arial" w:cs="Arial"/>
          <w:b/>
          <w:sz w:val="16"/>
          <w:szCs w:val="16"/>
        </w:rPr>
      </w:pPr>
    </w:p>
    <w:p w:rsidR="005E2DDE" w:rsidRPr="001F5AE4" w:rsidRDefault="005E2DDE" w:rsidP="005E2DDE">
      <w:pPr>
        <w:pStyle w:val="Bezmezer"/>
        <w:spacing w:line="276" w:lineRule="auto"/>
        <w:jc w:val="both"/>
        <w:rPr>
          <w:rFonts w:ascii="Arial" w:hAnsi="Arial" w:cs="Arial"/>
          <w:b/>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Pr="001F5AE4" w:rsidRDefault="005E2DDE" w:rsidP="005E2DDE">
      <w:pPr>
        <w:pStyle w:val="Bezmezer"/>
        <w:spacing w:line="276" w:lineRule="auto"/>
        <w:ind w:left="708"/>
        <w:jc w:val="both"/>
        <w:rPr>
          <w:rFonts w:ascii="Arial" w:hAnsi="Arial" w:cs="Arial"/>
          <w:sz w:val="16"/>
          <w:szCs w:val="16"/>
        </w:rPr>
      </w:pPr>
      <w:r w:rsidRPr="001F5AE4">
        <w:rPr>
          <w:rFonts w:ascii="Arial" w:hAnsi="Arial" w:cs="Arial"/>
          <w:sz w:val="16"/>
          <w:szCs w:val="16"/>
        </w:rPr>
        <w:t>Tabulka kapacit pro následující druhy služeb: krizová pomoc, odlehčovací služby, služby následné péče, sociální rehabilitace</w:t>
      </w:r>
    </w:p>
    <w:tbl>
      <w:tblPr>
        <w:tblStyle w:val="Mkatabulky"/>
        <w:tblpPr w:leftFromText="141" w:rightFromText="141" w:vertAnchor="text" w:horzAnchor="margin" w:tblpX="1351" w:tblpY="201"/>
        <w:tblW w:w="0" w:type="auto"/>
        <w:tblInd w:w="0" w:type="dxa"/>
        <w:tblLook w:val="04A0" w:firstRow="1" w:lastRow="0" w:firstColumn="1" w:lastColumn="0" w:noHBand="0" w:noVBand="1"/>
      </w:tblPr>
      <w:tblGrid>
        <w:gridCol w:w="670"/>
        <w:gridCol w:w="1842"/>
        <w:gridCol w:w="1842"/>
        <w:gridCol w:w="1843"/>
        <w:gridCol w:w="1141"/>
      </w:tblGrid>
      <w:tr w:rsidR="005E2DDE" w:rsidRPr="001F5AE4" w:rsidTr="009C2AEF">
        <w:tc>
          <w:tcPr>
            <w:tcW w:w="670"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843"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14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58"/>
        </w:trPr>
        <w:tc>
          <w:tcPr>
            <w:tcW w:w="670"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 (ambulantní forma)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638"/>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 xml:space="preserve">Počet hodin přímé práce / rok </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637"/>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(pobytová forma)</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31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lůžek</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Pr="001F5AE4" w:rsidRDefault="005E2DDE" w:rsidP="005E2DDE">
      <w:pPr>
        <w:pStyle w:val="Bezmezer"/>
        <w:spacing w:line="276" w:lineRule="auto"/>
        <w:jc w:val="both"/>
        <w:rPr>
          <w:rFonts w:ascii="Arial" w:hAnsi="Arial" w:cs="Arial"/>
          <w:b/>
          <w:sz w:val="16"/>
          <w:szCs w:val="16"/>
        </w:rPr>
      </w:pPr>
    </w:p>
    <w:p w:rsidR="005E2DDE" w:rsidRPr="001F5AE4" w:rsidRDefault="005E2DDE" w:rsidP="005E2DDE">
      <w:pPr>
        <w:pStyle w:val="Bezmezer"/>
        <w:spacing w:line="276" w:lineRule="auto"/>
        <w:jc w:val="both"/>
        <w:rPr>
          <w:rFonts w:ascii="Arial" w:hAnsi="Arial" w:cs="Arial"/>
          <w:b/>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5E2DDE" w:rsidRDefault="005E2DDE" w:rsidP="005E2DDE">
      <w:pPr>
        <w:pStyle w:val="Bezmezer"/>
        <w:spacing w:line="276" w:lineRule="auto"/>
        <w:ind w:firstLine="708"/>
        <w:jc w:val="both"/>
        <w:rPr>
          <w:rFonts w:ascii="Arial" w:hAnsi="Arial" w:cs="Arial"/>
          <w:sz w:val="16"/>
          <w:szCs w:val="16"/>
        </w:rPr>
      </w:pPr>
    </w:p>
    <w:p w:rsidR="00CF20E5" w:rsidRDefault="00CF20E5" w:rsidP="005E2DDE">
      <w:pPr>
        <w:pStyle w:val="Bezmezer"/>
        <w:spacing w:line="276" w:lineRule="auto"/>
        <w:ind w:firstLine="708"/>
        <w:jc w:val="both"/>
        <w:rPr>
          <w:rFonts w:ascii="Arial" w:hAnsi="Arial" w:cs="Arial"/>
          <w:sz w:val="16"/>
          <w:szCs w:val="16"/>
        </w:rPr>
      </w:pPr>
    </w:p>
    <w:p w:rsidR="00CF20E5" w:rsidRDefault="00CF20E5" w:rsidP="005E2DDE">
      <w:pPr>
        <w:pStyle w:val="Bezmezer"/>
        <w:spacing w:line="276" w:lineRule="auto"/>
        <w:ind w:firstLine="708"/>
        <w:jc w:val="both"/>
        <w:rPr>
          <w:rFonts w:ascii="Arial" w:hAnsi="Arial" w:cs="Arial"/>
          <w:sz w:val="16"/>
          <w:szCs w:val="16"/>
        </w:rPr>
      </w:pPr>
    </w:p>
    <w:p w:rsidR="00CF20E5" w:rsidRDefault="00CF20E5" w:rsidP="005E2DDE">
      <w:pPr>
        <w:pStyle w:val="Bezmezer"/>
        <w:spacing w:line="276" w:lineRule="auto"/>
        <w:ind w:firstLine="708"/>
        <w:jc w:val="both"/>
        <w:rPr>
          <w:rFonts w:ascii="Arial" w:hAnsi="Arial" w:cs="Arial"/>
          <w:sz w:val="16"/>
          <w:szCs w:val="16"/>
        </w:rPr>
      </w:pPr>
    </w:p>
    <w:p w:rsidR="00CF20E5" w:rsidRDefault="00CF20E5" w:rsidP="005E2DDE">
      <w:pPr>
        <w:pStyle w:val="Bezmezer"/>
        <w:spacing w:line="276" w:lineRule="auto"/>
        <w:ind w:firstLine="708"/>
        <w:jc w:val="both"/>
        <w:rPr>
          <w:rFonts w:ascii="Arial" w:hAnsi="Arial" w:cs="Arial"/>
          <w:sz w:val="16"/>
          <w:szCs w:val="16"/>
        </w:rPr>
      </w:pPr>
    </w:p>
    <w:p w:rsidR="00CF20E5" w:rsidRDefault="00CF20E5" w:rsidP="005E2DDE">
      <w:pPr>
        <w:pStyle w:val="Bezmezer"/>
        <w:spacing w:line="276" w:lineRule="auto"/>
        <w:ind w:firstLine="708"/>
        <w:jc w:val="both"/>
        <w:rPr>
          <w:rFonts w:ascii="Arial" w:hAnsi="Arial" w:cs="Arial"/>
          <w:sz w:val="16"/>
          <w:szCs w:val="16"/>
        </w:rPr>
      </w:pPr>
    </w:p>
    <w:p w:rsidR="005E2DDE" w:rsidRPr="001F5AE4" w:rsidRDefault="005E2DDE" w:rsidP="005E2DDE">
      <w:pPr>
        <w:pStyle w:val="Bezmezer"/>
        <w:spacing w:line="276" w:lineRule="auto"/>
        <w:ind w:firstLine="708"/>
        <w:jc w:val="both"/>
        <w:rPr>
          <w:rFonts w:ascii="Arial" w:hAnsi="Arial" w:cs="Arial"/>
          <w:sz w:val="16"/>
          <w:szCs w:val="16"/>
        </w:rPr>
      </w:pPr>
      <w:r w:rsidRPr="001F5AE4">
        <w:rPr>
          <w:rFonts w:ascii="Arial" w:hAnsi="Arial" w:cs="Arial"/>
          <w:sz w:val="16"/>
          <w:szCs w:val="16"/>
        </w:rPr>
        <w:t xml:space="preserve">Tabulka kapacit pro následující druhy služeb: tísňová péče </w:t>
      </w:r>
    </w:p>
    <w:tbl>
      <w:tblPr>
        <w:tblStyle w:val="Mkatabulky"/>
        <w:tblpPr w:leftFromText="141" w:rightFromText="141" w:vertAnchor="text" w:horzAnchor="margin" w:tblpX="1351" w:tblpY="201"/>
        <w:tblW w:w="0" w:type="auto"/>
        <w:tblInd w:w="0" w:type="dxa"/>
        <w:tblLook w:val="04A0" w:firstRow="1" w:lastRow="0" w:firstColumn="1" w:lastColumn="0" w:noHBand="0" w:noVBand="1"/>
      </w:tblPr>
      <w:tblGrid>
        <w:gridCol w:w="670"/>
        <w:gridCol w:w="1842"/>
        <w:gridCol w:w="1842"/>
        <w:gridCol w:w="1843"/>
        <w:gridCol w:w="1141"/>
      </w:tblGrid>
      <w:tr w:rsidR="005E2DDE" w:rsidRPr="001F5AE4" w:rsidTr="009C2AEF">
        <w:tc>
          <w:tcPr>
            <w:tcW w:w="670"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Druh služby</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Jednotka</w:t>
            </w: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Skutečnost 2013</w:t>
            </w:r>
          </w:p>
        </w:tc>
        <w:tc>
          <w:tcPr>
            <w:tcW w:w="1843"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Předpokládaná skutečnost 2014</w:t>
            </w:r>
          </w:p>
        </w:tc>
        <w:tc>
          <w:tcPr>
            <w:tcW w:w="1141"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Plán 2015</w:t>
            </w:r>
          </w:p>
        </w:tc>
      </w:tr>
      <w:tr w:rsidR="005E2DDE" w:rsidRPr="001F5AE4" w:rsidTr="009C2AEF">
        <w:trPr>
          <w:trHeight w:val="158"/>
        </w:trPr>
        <w:tc>
          <w:tcPr>
            <w:tcW w:w="670" w:type="dxa"/>
            <w:vMerge w:val="restart"/>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uživatelů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hovorů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hodin hovorů</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r w:rsidR="005E2DDE" w:rsidRPr="001F5AE4" w:rsidTr="009C2AEF">
        <w:trPr>
          <w:trHeight w:val="2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5E2DDE" w:rsidRPr="001F5AE4" w:rsidRDefault="005E2DDE" w:rsidP="009C2AEF">
            <w:pPr>
              <w:pStyle w:val="Bezmezer"/>
              <w:spacing w:line="276" w:lineRule="auto"/>
              <w:jc w:val="both"/>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E2DDE" w:rsidRPr="001F5AE4" w:rsidRDefault="005E2DDE" w:rsidP="009C2AEF">
            <w:pPr>
              <w:pStyle w:val="Bezmezer"/>
              <w:spacing w:line="276" w:lineRule="auto"/>
              <w:jc w:val="both"/>
              <w:rPr>
                <w:rFonts w:ascii="Arial" w:hAnsi="Arial" w:cs="Arial"/>
                <w:sz w:val="16"/>
                <w:szCs w:val="16"/>
              </w:rPr>
            </w:pPr>
            <w:r w:rsidRPr="001F5AE4">
              <w:rPr>
                <w:rFonts w:ascii="Arial" w:hAnsi="Arial" w:cs="Arial"/>
                <w:sz w:val="16"/>
                <w:szCs w:val="16"/>
              </w:rPr>
              <w:t>Počet výjezdů za uživateli</w:t>
            </w:r>
          </w:p>
        </w:tc>
        <w:tc>
          <w:tcPr>
            <w:tcW w:w="1842"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c>
          <w:tcPr>
            <w:tcW w:w="1141" w:type="dxa"/>
            <w:tcBorders>
              <w:top w:val="single" w:sz="4" w:space="0" w:color="auto"/>
              <w:left w:val="single" w:sz="4" w:space="0" w:color="auto"/>
              <w:bottom w:val="single" w:sz="4" w:space="0" w:color="auto"/>
              <w:right w:val="single" w:sz="4" w:space="0" w:color="auto"/>
            </w:tcBorders>
          </w:tcPr>
          <w:p w:rsidR="005E2DDE" w:rsidRPr="001F5AE4" w:rsidRDefault="005E2DDE" w:rsidP="009C2AEF">
            <w:pPr>
              <w:pStyle w:val="Bezmezer"/>
              <w:spacing w:line="276" w:lineRule="auto"/>
              <w:jc w:val="both"/>
              <w:rPr>
                <w:rFonts w:ascii="Arial" w:hAnsi="Arial" w:cs="Arial"/>
                <w:sz w:val="16"/>
                <w:szCs w:val="16"/>
              </w:rPr>
            </w:pPr>
          </w:p>
        </w:tc>
      </w:tr>
    </w:tbl>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sz w:val="16"/>
          <w:szCs w:val="16"/>
        </w:rPr>
      </w:pPr>
    </w:p>
    <w:p w:rsidR="005E2DDE" w:rsidRPr="001F5AE4" w:rsidRDefault="005E2DDE" w:rsidP="005E2DDE">
      <w:pPr>
        <w:pStyle w:val="Bezmezer"/>
        <w:spacing w:line="276" w:lineRule="auto"/>
        <w:jc w:val="both"/>
        <w:rPr>
          <w:rFonts w:ascii="Arial" w:hAnsi="Arial" w:cs="Arial"/>
          <w:sz w:val="16"/>
          <w:szCs w:val="16"/>
        </w:rPr>
      </w:pPr>
    </w:p>
    <w:p w:rsidR="005E2DDE" w:rsidRDefault="005E2DDE" w:rsidP="005E2DDE">
      <w:pPr>
        <w:pStyle w:val="Bezmezer"/>
        <w:spacing w:line="276" w:lineRule="auto"/>
        <w:jc w:val="both"/>
        <w:rPr>
          <w:rFonts w:ascii="Arial" w:hAnsi="Arial" w:cs="Arial"/>
          <w:b/>
        </w:rPr>
      </w:pPr>
    </w:p>
    <w:p w:rsidR="005E2DDE" w:rsidRPr="003137C5" w:rsidRDefault="005E2DDE" w:rsidP="005E2DDE">
      <w:pPr>
        <w:pStyle w:val="Bezmezer"/>
        <w:spacing w:line="276" w:lineRule="auto"/>
        <w:jc w:val="both"/>
        <w:rPr>
          <w:rFonts w:ascii="Arial" w:hAnsi="Arial" w:cs="Arial"/>
          <w:b/>
        </w:rPr>
      </w:pPr>
    </w:p>
    <w:p w:rsidR="005E2DDE" w:rsidRPr="003137C5" w:rsidRDefault="005E2DDE" w:rsidP="005E2DDE">
      <w:pPr>
        <w:pStyle w:val="Bezmezer"/>
        <w:numPr>
          <w:ilvl w:val="0"/>
          <w:numId w:val="3"/>
        </w:numPr>
        <w:spacing w:line="276" w:lineRule="auto"/>
        <w:jc w:val="both"/>
        <w:rPr>
          <w:rFonts w:ascii="Arial" w:hAnsi="Arial" w:cs="Arial"/>
          <w:b/>
        </w:rPr>
      </w:pPr>
      <w:r w:rsidRPr="003137C5">
        <w:rPr>
          <w:rFonts w:ascii="Arial" w:hAnsi="Arial" w:cs="Arial"/>
          <w:b/>
        </w:rPr>
        <w:t>Rozpočet poskytované služby, včetně požadavku na dotaci, na příslušný rok (</w:t>
      </w:r>
      <w:proofErr w:type="spellStart"/>
      <w:r w:rsidRPr="003137C5">
        <w:rPr>
          <w:rFonts w:ascii="Arial" w:hAnsi="Arial" w:cs="Arial"/>
          <w:b/>
        </w:rPr>
        <w:t>xls</w:t>
      </w:r>
      <w:proofErr w:type="spellEnd"/>
      <w:r w:rsidRPr="003137C5">
        <w:rPr>
          <w:rFonts w:ascii="Arial" w:hAnsi="Arial" w:cs="Arial"/>
          <w:b/>
        </w:rPr>
        <w:t xml:space="preserve">, </w:t>
      </w:r>
      <w:proofErr w:type="spellStart"/>
      <w:r w:rsidRPr="003137C5">
        <w:rPr>
          <w:rFonts w:ascii="Arial" w:hAnsi="Arial" w:cs="Arial"/>
          <w:b/>
        </w:rPr>
        <w:t>xlsx</w:t>
      </w:r>
      <w:proofErr w:type="spellEnd"/>
      <w:r w:rsidRPr="003137C5">
        <w:rPr>
          <w:rFonts w:ascii="Arial" w:hAnsi="Arial" w:cs="Arial"/>
          <w:b/>
        </w:rPr>
        <w:t>)</w:t>
      </w:r>
    </w:p>
    <w:p w:rsidR="005E2DDE" w:rsidRPr="003137C5" w:rsidRDefault="005E2DDE" w:rsidP="005E2DDE">
      <w:pPr>
        <w:pStyle w:val="Bezmezer"/>
        <w:spacing w:line="276" w:lineRule="auto"/>
        <w:jc w:val="both"/>
        <w:rPr>
          <w:rFonts w:ascii="Arial" w:hAnsi="Arial" w:cs="Arial"/>
        </w:rPr>
      </w:pPr>
      <w:r w:rsidRPr="003137C5">
        <w:rPr>
          <w:rFonts w:ascii="Arial" w:hAnsi="Arial" w:cs="Arial"/>
        </w:rPr>
        <w:t>Přílohu je třeba vyplnit v EXCELU na předepsaném formuláři (viz. Dokumenty ke stažení) v předepsaném formátu (</w:t>
      </w:r>
      <w:proofErr w:type="spellStart"/>
      <w:r w:rsidRPr="003137C5">
        <w:rPr>
          <w:rFonts w:ascii="Arial" w:hAnsi="Arial" w:cs="Arial"/>
        </w:rPr>
        <w:t>xls</w:t>
      </w:r>
      <w:proofErr w:type="spellEnd"/>
      <w:r w:rsidRPr="003137C5">
        <w:rPr>
          <w:rFonts w:ascii="Arial" w:hAnsi="Arial" w:cs="Arial"/>
        </w:rPr>
        <w:t xml:space="preserve">, </w:t>
      </w:r>
      <w:proofErr w:type="spellStart"/>
      <w:r w:rsidRPr="003137C5">
        <w:rPr>
          <w:rFonts w:ascii="Arial" w:hAnsi="Arial" w:cs="Arial"/>
        </w:rPr>
        <w:t>xlsx</w:t>
      </w:r>
      <w:proofErr w:type="spellEnd"/>
      <w:r w:rsidRPr="003137C5">
        <w:rPr>
          <w:rFonts w:ascii="Arial" w:hAnsi="Arial" w:cs="Arial"/>
        </w:rPr>
        <w:t>) a vložit v tomto formátu do aplikace OK Služby – Poskytovatel.</w:t>
      </w:r>
    </w:p>
    <w:p w:rsidR="005E2DDE" w:rsidRPr="003137C5" w:rsidRDefault="005E2DDE" w:rsidP="005E2DDE">
      <w:pPr>
        <w:pStyle w:val="Bezmezer"/>
        <w:spacing w:line="276" w:lineRule="auto"/>
        <w:jc w:val="both"/>
        <w:rPr>
          <w:rFonts w:ascii="Arial" w:hAnsi="Arial" w:cs="Arial"/>
        </w:rPr>
      </w:pPr>
      <w:r w:rsidRPr="003137C5">
        <w:rPr>
          <w:rFonts w:ascii="Arial" w:hAnsi="Arial" w:cs="Arial"/>
        </w:rPr>
        <w:t xml:space="preserve">Při podání žádosti se v příloze vyplňují pouze sloupce </w:t>
      </w:r>
      <w:r w:rsidRPr="003137C5">
        <w:rPr>
          <w:rFonts w:ascii="Arial" w:hAnsi="Arial" w:cs="Arial"/>
          <w:b/>
        </w:rPr>
        <w:t xml:space="preserve">„Celkový rozpočet služby“ </w:t>
      </w:r>
      <w:r w:rsidRPr="003137C5">
        <w:rPr>
          <w:rFonts w:ascii="Arial" w:hAnsi="Arial" w:cs="Arial"/>
        </w:rPr>
        <w:t>a</w:t>
      </w:r>
      <w:r w:rsidRPr="003137C5">
        <w:rPr>
          <w:rFonts w:ascii="Arial" w:hAnsi="Arial" w:cs="Arial"/>
          <w:b/>
        </w:rPr>
        <w:t xml:space="preserve"> „Požadavek na dotaci“</w:t>
      </w:r>
      <w:r w:rsidRPr="003137C5">
        <w:rPr>
          <w:rFonts w:ascii="Arial" w:hAnsi="Arial" w:cs="Arial"/>
        </w:rPr>
        <w:t xml:space="preserve">. </w:t>
      </w:r>
    </w:p>
    <w:p w:rsidR="005E2DDE" w:rsidRDefault="005E2DDE" w:rsidP="005E2DDE">
      <w:pPr>
        <w:pStyle w:val="Bezmezer"/>
        <w:spacing w:line="276" w:lineRule="auto"/>
        <w:jc w:val="both"/>
        <w:rPr>
          <w:rFonts w:ascii="Arial" w:hAnsi="Arial" w:cs="Arial"/>
        </w:rPr>
      </w:pPr>
      <w:r w:rsidRPr="003137C5">
        <w:rPr>
          <w:rFonts w:ascii="Arial" w:hAnsi="Arial" w:cs="Arial"/>
        </w:rPr>
        <w:t>Ostatní sloupce v příloze</w:t>
      </w:r>
      <w:r w:rsidRPr="003137C5">
        <w:rPr>
          <w:rFonts w:ascii="Arial" w:hAnsi="Arial" w:cs="Arial"/>
          <w:b/>
        </w:rPr>
        <w:t xml:space="preserve"> </w:t>
      </w:r>
      <w:r w:rsidRPr="001F5AE4">
        <w:rPr>
          <w:rFonts w:ascii="Arial" w:hAnsi="Arial" w:cs="Arial"/>
          <w:b/>
        </w:rPr>
        <w:t>NEVYPLŇUJTE!</w:t>
      </w:r>
      <w:r w:rsidRPr="003137C5">
        <w:rPr>
          <w:rFonts w:ascii="Arial" w:hAnsi="Arial" w:cs="Arial"/>
          <w:b/>
        </w:rPr>
        <w:t xml:space="preserve"> </w:t>
      </w:r>
      <w:r w:rsidRPr="003137C5">
        <w:rPr>
          <w:rFonts w:ascii="Arial" w:hAnsi="Arial" w:cs="Arial"/>
        </w:rPr>
        <w:t>(ty vyplňuje hodnotitel – HMP)</w:t>
      </w:r>
    </w:p>
    <w:p w:rsidR="00DA0895" w:rsidRDefault="00DA0895" w:rsidP="005E2DDE">
      <w:pPr>
        <w:pStyle w:val="Bezmezer"/>
        <w:spacing w:line="276" w:lineRule="auto"/>
        <w:jc w:val="both"/>
        <w:rPr>
          <w:rFonts w:ascii="Arial" w:hAnsi="Arial" w:cs="Arial"/>
        </w:rPr>
      </w:pPr>
    </w:p>
    <w:p w:rsidR="00DA0895" w:rsidRDefault="00DA0895" w:rsidP="00DA0895">
      <w:pPr>
        <w:pStyle w:val="Bezmezer"/>
        <w:numPr>
          <w:ilvl w:val="0"/>
          <w:numId w:val="3"/>
        </w:numPr>
        <w:spacing w:line="276" w:lineRule="auto"/>
        <w:jc w:val="both"/>
        <w:rPr>
          <w:rFonts w:ascii="Arial" w:hAnsi="Arial" w:cs="Arial"/>
          <w:b/>
        </w:rPr>
      </w:pPr>
      <w:r w:rsidRPr="00DA0895">
        <w:rPr>
          <w:rFonts w:ascii="Arial" w:hAnsi="Arial" w:cs="Arial"/>
          <w:b/>
        </w:rPr>
        <w:t>Rozdělení nákladů a dotace dle krajů a působnosti</w:t>
      </w:r>
    </w:p>
    <w:p w:rsidR="00DA0895" w:rsidRPr="00DA0895" w:rsidRDefault="00F473BC" w:rsidP="00DA0895">
      <w:pPr>
        <w:pStyle w:val="Bezmezer"/>
        <w:spacing w:line="276" w:lineRule="auto"/>
        <w:jc w:val="both"/>
        <w:rPr>
          <w:rFonts w:ascii="Arial" w:hAnsi="Arial" w:cs="Arial"/>
        </w:rPr>
      </w:pPr>
      <w:r>
        <w:rPr>
          <w:rFonts w:ascii="Arial" w:hAnsi="Arial" w:cs="Arial"/>
        </w:rPr>
        <w:t xml:space="preserve">Jedná se o povinnou přílohu, kterou v jejím znění nastavilo MPSV. </w:t>
      </w:r>
      <w:r w:rsidR="00DA0895" w:rsidRPr="003137C5">
        <w:rPr>
          <w:rFonts w:ascii="Arial" w:hAnsi="Arial" w:cs="Arial"/>
        </w:rPr>
        <w:t>Příloh</w:t>
      </w:r>
      <w:r w:rsidR="000E11A8">
        <w:rPr>
          <w:rFonts w:ascii="Arial" w:hAnsi="Arial" w:cs="Arial"/>
        </w:rPr>
        <w:t>a</w:t>
      </w:r>
      <w:r w:rsidR="00DA0895" w:rsidRPr="003137C5">
        <w:rPr>
          <w:rFonts w:ascii="Arial" w:hAnsi="Arial" w:cs="Arial"/>
        </w:rPr>
        <w:t xml:space="preserve"> </w:t>
      </w:r>
      <w:r w:rsidR="00FC472A">
        <w:rPr>
          <w:rFonts w:ascii="Arial" w:hAnsi="Arial" w:cs="Arial"/>
        </w:rPr>
        <w:t>je k dispozici na webových stránkách MPSV</w:t>
      </w:r>
      <w:r w:rsidR="00DA0895" w:rsidRPr="003137C5">
        <w:rPr>
          <w:rFonts w:ascii="Arial" w:hAnsi="Arial" w:cs="Arial"/>
        </w:rPr>
        <w:t xml:space="preserve"> </w:t>
      </w:r>
      <w:hyperlink r:id="rId6" w:history="1">
        <w:r w:rsidRPr="003A2A0D">
          <w:rPr>
            <w:rStyle w:val="Hypertextovodkaz"/>
            <w:rFonts w:ascii="Arial" w:hAnsi="Arial" w:cs="Arial"/>
            <w:bdr w:val="none" w:sz="0" w:space="0" w:color="auto"/>
          </w:rPr>
          <w:t>http://portal.mpsv.cz/soc/ssl/poskyt/proku</w:t>
        </w:r>
      </w:hyperlink>
      <w:r>
        <w:rPr>
          <w:rFonts w:ascii="Arial" w:hAnsi="Arial" w:cs="Arial"/>
        </w:rPr>
        <w:t>)</w:t>
      </w:r>
      <w:r w:rsidR="000E11A8">
        <w:rPr>
          <w:rFonts w:ascii="Arial" w:hAnsi="Arial" w:cs="Arial"/>
        </w:rPr>
        <w:t>.</w:t>
      </w:r>
      <w:r w:rsidR="00DA0895" w:rsidRPr="003137C5">
        <w:rPr>
          <w:rFonts w:ascii="Arial" w:hAnsi="Arial" w:cs="Arial"/>
        </w:rPr>
        <w:t xml:space="preserve"> </w:t>
      </w:r>
      <w:r w:rsidR="000E11A8" w:rsidRPr="003137C5">
        <w:rPr>
          <w:rFonts w:ascii="Arial" w:hAnsi="Arial" w:cs="Arial"/>
        </w:rPr>
        <w:t>Přílohu je třeba vyplnit v EXCELU</w:t>
      </w:r>
      <w:r w:rsidR="000E11A8" w:rsidRPr="003137C5">
        <w:rPr>
          <w:rFonts w:ascii="Arial" w:hAnsi="Arial" w:cs="Arial"/>
        </w:rPr>
        <w:t xml:space="preserve"> </w:t>
      </w:r>
      <w:r w:rsidR="00DA0895" w:rsidRPr="003137C5">
        <w:rPr>
          <w:rFonts w:ascii="Arial" w:hAnsi="Arial" w:cs="Arial"/>
        </w:rPr>
        <w:t>vložit v tomto formátu do aplikace OK Služby – Poskytovatel.</w:t>
      </w:r>
      <w:r w:rsidR="00DA0895">
        <w:rPr>
          <w:rFonts w:ascii="Arial" w:hAnsi="Arial" w:cs="Arial"/>
        </w:rPr>
        <w:t xml:space="preserve"> Formulář přílohy obsahuje dva listy</w:t>
      </w:r>
      <w:r w:rsidR="000E11A8">
        <w:rPr>
          <w:rFonts w:ascii="Arial" w:hAnsi="Arial" w:cs="Arial"/>
        </w:rPr>
        <w:t xml:space="preserve">. </w:t>
      </w:r>
    </w:p>
    <w:p w:rsidR="00DA0895" w:rsidRPr="00DA0895" w:rsidRDefault="00DA0895" w:rsidP="00DA0895">
      <w:pPr>
        <w:pStyle w:val="Bezmezer"/>
        <w:spacing w:line="276" w:lineRule="auto"/>
        <w:ind w:left="720"/>
        <w:jc w:val="both"/>
        <w:rPr>
          <w:rFonts w:ascii="Arial" w:hAnsi="Arial" w:cs="Arial"/>
          <w:b/>
        </w:rPr>
      </w:pPr>
    </w:p>
    <w:p w:rsidR="00DA0895" w:rsidRDefault="00DA0895" w:rsidP="005E2DDE">
      <w:pPr>
        <w:pStyle w:val="Bezmezer"/>
        <w:spacing w:line="276" w:lineRule="auto"/>
        <w:jc w:val="both"/>
        <w:rPr>
          <w:rFonts w:ascii="Arial" w:hAnsi="Arial" w:cs="Arial"/>
        </w:rPr>
      </w:pPr>
    </w:p>
    <w:p w:rsidR="00DA0895" w:rsidRPr="003137C5" w:rsidRDefault="00DA0895" w:rsidP="005E2DDE">
      <w:pPr>
        <w:pStyle w:val="Bezmezer"/>
        <w:spacing w:line="276" w:lineRule="auto"/>
        <w:jc w:val="both"/>
        <w:rPr>
          <w:rFonts w:ascii="Arial" w:hAnsi="Arial" w:cs="Arial"/>
        </w:rPr>
      </w:pPr>
    </w:p>
    <w:p w:rsidR="005E2DDE" w:rsidRPr="003137C5" w:rsidRDefault="005E2DDE" w:rsidP="005E2DDE">
      <w:pPr>
        <w:pStyle w:val="Bezmezer"/>
        <w:spacing w:line="276" w:lineRule="auto"/>
        <w:jc w:val="both"/>
        <w:rPr>
          <w:rFonts w:ascii="Arial" w:hAnsi="Arial" w:cs="Arial"/>
        </w:rPr>
      </w:pPr>
    </w:p>
    <w:p w:rsidR="005E2DDE" w:rsidRPr="006C06E6" w:rsidRDefault="005E2DDE" w:rsidP="00E47572">
      <w:pPr>
        <w:pStyle w:val="Bezmezer"/>
        <w:spacing w:line="276" w:lineRule="auto"/>
        <w:jc w:val="both"/>
        <w:rPr>
          <w:rFonts w:ascii="Arial" w:hAnsi="Arial" w:cs="Arial"/>
        </w:rPr>
      </w:pPr>
    </w:p>
    <w:sectPr w:rsidR="005E2DDE" w:rsidRPr="006C0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506"/>
    <w:multiLevelType w:val="hybridMultilevel"/>
    <w:tmpl w:val="510A5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852191"/>
    <w:multiLevelType w:val="multilevel"/>
    <w:tmpl w:val="057E2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84E74"/>
    <w:multiLevelType w:val="hybridMultilevel"/>
    <w:tmpl w:val="DBA0427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nsid w:val="702D4BEA"/>
    <w:multiLevelType w:val="hybridMultilevel"/>
    <w:tmpl w:val="FAF64BDC"/>
    <w:lvl w:ilvl="0" w:tplc="4AF2B15C">
      <w:start w:val="1"/>
      <w:numFmt w:val="decimal"/>
      <w:lvlText w:val="%1."/>
      <w:lvlJc w:val="left"/>
      <w:pPr>
        <w:tabs>
          <w:tab w:val="num" w:pos="786"/>
        </w:tabs>
        <w:ind w:left="783" w:hanging="357"/>
      </w:pPr>
      <w:rPr>
        <w:rFonts w:ascii="Times New Roman" w:hAnsi="Times New Roman" w:cs="Times New Roman" w:hint="default"/>
        <w:b w:val="0"/>
        <w:bCs w:val="0"/>
        <w:i w:val="0"/>
        <w:iCs w:val="0"/>
        <w:strike w:val="0"/>
        <w:color w:val="auto"/>
        <w:sz w:val="24"/>
        <w:szCs w:val="24"/>
      </w:rPr>
    </w:lvl>
    <w:lvl w:ilvl="1" w:tplc="79644C22">
      <w:start w:val="1"/>
      <w:numFmt w:val="lowerLetter"/>
      <w:lvlText w:val="%2."/>
      <w:lvlJc w:val="left"/>
      <w:pPr>
        <w:tabs>
          <w:tab w:val="num" w:pos="0"/>
        </w:tabs>
        <w:ind w:left="0" w:firstLine="0"/>
      </w:pPr>
      <w:rPr>
        <w:rFonts w:hint="default"/>
        <w:b w:val="0"/>
        <w:bCs w:val="0"/>
        <w:i w:val="0"/>
        <w:iCs w:val="0"/>
        <w:strike w:val="0"/>
        <w:color w:val="auto"/>
        <w:sz w:val="24"/>
        <w:szCs w:val="24"/>
      </w:rPr>
    </w:lvl>
    <w:lvl w:ilvl="2" w:tplc="0405001B">
      <w:start w:val="1"/>
      <w:numFmt w:val="lowerRoman"/>
      <w:lvlText w:val="%3."/>
      <w:lvlJc w:val="right"/>
      <w:pPr>
        <w:tabs>
          <w:tab w:val="num" w:pos="2160"/>
        </w:tabs>
        <w:ind w:left="2160" w:hanging="180"/>
      </w:pPr>
    </w:lvl>
    <w:lvl w:ilvl="3" w:tplc="B288907E">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8C"/>
    <w:rsid w:val="00072AA9"/>
    <w:rsid w:val="000E11A8"/>
    <w:rsid w:val="00140703"/>
    <w:rsid w:val="0019389B"/>
    <w:rsid w:val="001977FE"/>
    <w:rsid w:val="001E18CE"/>
    <w:rsid w:val="001F5AE4"/>
    <w:rsid w:val="003137C5"/>
    <w:rsid w:val="00332ACE"/>
    <w:rsid w:val="003628B5"/>
    <w:rsid w:val="00400963"/>
    <w:rsid w:val="00491640"/>
    <w:rsid w:val="004C7723"/>
    <w:rsid w:val="004D2607"/>
    <w:rsid w:val="004E1C11"/>
    <w:rsid w:val="004E62DE"/>
    <w:rsid w:val="005146A4"/>
    <w:rsid w:val="0059665A"/>
    <w:rsid w:val="005B1261"/>
    <w:rsid w:val="005E2DDE"/>
    <w:rsid w:val="005E325F"/>
    <w:rsid w:val="005E4F69"/>
    <w:rsid w:val="00687B54"/>
    <w:rsid w:val="006C06E6"/>
    <w:rsid w:val="006E6BB9"/>
    <w:rsid w:val="007C681B"/>
    <w:rsid w:val="007D300E"/>
    <w:rsid w:val="007F2944"/>
    <w:rsid w:val="00832C21"/>
    <w:rsid w:val="00834E97"/>
    <w:rsid w:val="008A6730"/>
    <w:rsid w:val="008E7A75"/>
    <w:rsid w:val="00924D31"/>
    <w:rsid w:val="00944484"/>
    <w:rsid w:val="00997A8C"/>
    <w:rsid w:val="00A22239"/>
    <w:rsid w:val="00A76F6F"/>
    <w:rsid w:val="00AC3334"/>
    <w:rsid w:val="00AD66E2"/>
    <w:rsid w:val="00C84957"/>
    <w:rsid w:val="00CF014E"/>
    <w:rsid w:val="00CF20E5"/>
    <w:rsid w:val="00DA0895"/>
    <w:rsid w:val="00E45B0F"/>
    <w:rsid w:val="00E47572"/>
    <w:rsid w:val="00E7064D"/>
    <w:rsid w:val="00F473BC"/>
    <w:rsid w:val="00F65A0A"/>
    <w:rsid w:val="00F845BF"/>
    <w:rsid w:val="00FC4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AA9"/>
  </w:style>
  <w:style w:type="paragraph" w:styleId="Nadpis1">
    <w:name w:val="heading 1"/>
    <w:basedOn w:val="Normln"/>
    <w:link w:val="Nadpis1Char"/>
    <w:uiPriority w:val="9"/>
    <w:qFormat/>
    <w:rsid w:val="00997A8C"/>
    <w:pPr>
      <w:spacing w:after="300" w:line="240" w:lineRule="auto"/>
      <w:outlineLvl w:val="0"/>
    </w:pPr>
    <w:rPr>
      <w:rFonts w:ascii="Times New Roman" w:eastAsia="Times New Roman" w:hAnsi="Times New Roman" w:cs="Times New Roman"/>
      <w:b/>
      <w:bCs/>
      <w:color w:val="74164F"/>
      <w:kern w:val="36"/>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7A8C"/>
    <w:rPr>
      <w:rFonts w:ascii="Times New Roman" w:eastAsia="Times New Roman" w:hAnsi="Times New Roman" w:cs="Times New Roman"/>
      <w:b/>
      <w:bCs/>
      <w:color w:val="74164F"/>
      <w:kern w:val="36"/>
      <w:sz w:val="40"/>
      <w:szCs w:val="40"/>
      <w:lang w:eastAsia="cs-CZ"/>
    </w:rPr>
  </w:style>
  <w:style w:type="paragraph" w:customStyle="1" w:styleId="perex">
    <w:name w:val="perex"/>
    <w:basedOn w:val="Normln"/>
    <w:rsid w:val="00997A8C"/>
    <w:pPr>
      <w:spacing w:before="320" w:after="320" w:line="360" w:lineRule="atLeast"/>
    </w:pPr>
    <w:rPr>
      <w:rFonts w:ascii="Times New Roman" w:eastAsia="Times New Roman" w:hAnsi="Times New Roman" w:cs="Times New Roman"/>
      <w:b/>
      <w:bCs/>
      <w:sz w:val="24"/>
      <w:szCs w:val="24"/>
      <w:lang w:eastAsia="cs-CZ"/>
    </w:rPr>
  </w:style>
  <w:style w:type="paragraph" w:styleId="Bezmezer">
    <w:name w:val="No Spacing"/>
    <w:uiPriority w:val="1"/>
    <w:qFormat/>
    <w:rsid w:val="00997A8C"/>
    <w:pPr>
      <w:spacing w:after="0" w:line="240" w:lineRule="auto"/>
    </w:pPr>
  </w:style>
  <w:style w:type="paragraph" w:styleId="Odstavecseseznamem">
    <w:name w:val="List Paragraph"/>
    <w:basedOn w:val="Normln"/>
    <w:uiPriority w:val="34"/>
    <w:qFormat/>
    <w:rsid w:val="00997A8C"/>
    <w:pPr>
      <w:spacing w:after="0" w:line="240" w:lineRule="auto"/>
      <w:ind w:left="720" w:hanging="357"/>
      <w:contextualSpacing/>
      <w:jc w:val="both"/>
    </w:pPr>
  </w:style>
  <w:style w:type="character" w:styleId="Hypertextovodkaz">
    <w:name w:val="Hyperlink"/>
    <w:basedOn w:val="Standardnpsmoodstavce"/>
    <w:uiPriority w:val="99"/>
    <w:unhideWhenUsed/>
    <w:rsid w:val="006C06E6"/>
    <w:rPr>
      <w:color w:val="74164F"/>
      <w:u w:val="single"/>
      <w:bdr w:val="none" w:sz="0" w:space="0" w:color="auto" w:frame="1"/>
    </w:rPr>
  </w:style>
  <w:style w:type="paragraph" w:styleId="Normlnweb">
    <w:name w:val="Normal (Web)"/>
    <w:basedOn w:val="Normln"/>
    <w:uiPriority w:val="99"/>
    <w:semiHidden/>
    <w:unhideWhenUsed/>
    <w:rsid w:val="006C06E6"/>
    <w:pPr>
      <w:spacing w:before="320" w:after="32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06E6"/>
    <w:rPr>
      <w:b/>
      <w:bCs/>
    </w:rPr>
  </w:style>
  <w:style w:type="paragraph" w:customStyle="1" w:styleId="Default">
    <w:name w:val="Default"/>
    <w:rsid w:val="00F65A0A"/>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47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2A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2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AA9"/>
  </w:style>
  <w:style w:type="paragraph" w:styleId="Nadpis1">
    <w:name w:val="heading 1"/>
    <w:basedOn w:val="Normln"/>
    <w:link w:val="Nadpis1Char"/>
    <w:uiPriority w:val="9"/>
    <w:qFormat/>
    <w:rsid w:val="00997A8C"/>
    <w:pPr>
      <w:spacing w:after="300" w:line="240" w:lineRule="auto"/>
      <w:outlineLvl w:val="0"/>
    </w:pPr>
    <w:rPr>
      <w:rFonts w:ascii="Times New Roman" w:eastAsia="Times New Roman" w:hAnsi="Times New Roman" w:cs="Times New Roman"/>
      <w:b/>
      <w:bCs/>
      <w:color w:val="74164F"/>
      <w:kern w:val="36"/>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7A8C"/>
    <w:rPr>
      <w:rFonts w:ascii="Times New Roman" w:eastAsia="Times New Roman" w:hAnsi="Times New Roman" w:cs="Times New Roman"/>
      <w:b/>
      <w:bCs/>
      <w:color w:val="74164F"/>
      <w:kern w:val="36"/>
      <w:sz w:val="40"/>
      <w:szCs w:val="40"/>
      <w:lang w:eastAsia="cs-CZ"/>
    </w:rPr>
  </w:style>
  <w:style w:type="paragraph" w:customStyle="1" w:styleId="perex">
    <w:name w:val="perex"/>
    <w:basedOn w:val="Normln"/>
    <w:rsid w:val="00997A8C"/>
    <w:pPr>
      <w:spacing w:before="320" w:after="320" w:line="360" w:lineRule="atLeast"/>
    </w:pPr>
    <w:rPr>
      <w:rFonts w:ascii="Times New Roman" w:eastAsia="Times New Roman" w:hAnsi="Times New Roman" w:cs="Times New Roman"/>
      <w:b/>
      <w:bCs/>
      <w:sz w:val="24"/>
      <w:szCs w:val="24"/>
      <w:lang w:eastAsia="cs-CZ"/>
    </w:rPr>
  </w:style>
  <w:style w:type="paragraph" w:styleId="Bezmezer">
    <w:name w:val="No Spacing"/>
    <w:uiPriority w:val="1"/>
    <w:qFormat/>
    <w:rsid w:val="00997A8C"/>
    <w:pPr>
      <w:spacing w:after="0" w:line="240" w:lineRule="auto"/>
    </w:pPr>
  </w:style>
  <w:style w:type="paragraph" w:styleId="Odstavecseseznamem">
    <w:name w:val="List Paragraph"/>
    <w:basedOn w:val="Normln"/>
    <w:uiPriority w:val="34"/>
    <w:qFormat/>
    <w:rsid w:val="00997A8C"/>
    <w:pPr>
      <w:spacing w:after="0" w:line="240" w:lineRule="auto"/>
      <w:ind w:left="720" w:hanging="357"/>
      <w:contextualSpacing/>
      <w:jc w:val="both"/>
    </w:pPr>
  </w:style>
  <w:style w:type="character" w:styleId="Hypertextovodkaz">
    <w:name w:val="Hyperlink"/>
    <w:basedOn w:val="Standardnpsmoodstavce"/>
    <w:uiPriority w:val="99"/>
    <w:unhideWhenUsed/>
    <w:rsid w:val="006C06E6"/>
    <w:rPr>
      <w:color w:val="74164F"/>
      <w:u w:val="single"/>
      <w:bdr w:val="none" w:sz="0" w:space="0" w:color="auto" w:frame="1"/>
    </w:rPr>
  </w:style>
  <w:style w:type="paragraph" w:styleId="Normlnweb">
    <w:name w:val="Normal (Web)"/>
    <w:basedOn w:val="Normln"/>
    <w:uiPriority w:val="99"/>
    <w:semiHidden/>
    <w:unhideWhenUsed/>
    <w:rsid w:val="006C06E6"/>
    <w:pPr>
      <w:spacing w:before="320" w:after="32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06E6"/>
    <w:rPr>
      <w:b/>
      <w:bCs/>
    </w:rPr>
  </w:style>
  <w:style w:type="paragraph" w:customStyle="1" w:styleId="Default">
    <w:name w:val="Default"/>
    <w:rsid w:val="00F65A0A"/>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47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2A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861">
      <w:bodyDiv w:val="1"/>
      <w:marLeft w:val="0"/>
      <w:marRight w:val="0"/>
      <w:marTop w:val="0"/>
      <w:marBottom w:val="0"/>
      <w:divBdr>
        <w:top w:val="none" w:sz="0" w:space="0" w:color="auto"/>
        <w:left w:val="none" w:sz="0" w:space="0" w:color="auto"/>
        <w:bottom w:val="none" w:sz="0" w:space="0" w:color="auto"/>
        <w:right w:val="none" w:sz="0" w:space="0" w:color="auto"/>
      </w:divBdr>
      <w:divsChild>
        <w:div w:id="1535463436">
          <w:marLeft w:val="0"/>
          <w:marRight w:val="0"/>
          <w:marTop w:val="0"/>
          <w:marBottom w:val="0"/>
          <w:divBdr>
            <w:top w:val="none" w:sz="0" w:space="0" w:color="auto"/>
            <w:left w:val="none" w:sz="0" w:space="0" w:color="auto"/>
            <w:bottom w:val="none" w:sz="0" w:space="0" w:color="auto"/>
            <w:right w:val="none" w:sz="0" w:space="0" w:color="auto"/>
          </w:divBdr>
          <w:divsChild>
            <w:div w:id="946085742">
              <w:marLeft w:val="0"/>
              <w:marRight w:val="0"/>
              <w:marTop w:val="0"/>
              <w:marBottom w:val="0"/>
              <w:divBdr>
                <w:top w:val="none" w:sz="0" w:space="0" w:color="auto"/>
                <w:left w:val="none" w:sz="0" w:space="0" w:color="auto"/>
                <w:bottom w:val="none" w:sz="0" w:space="0" w:color="auto"/>
                <w:right w:val="none" w:sz="0" w:space="0" w:color="auto"/>
              </w:divBdr>
              <w:divsChild>
                <w:div w:id="928389643">
                  <w:marLeft w:val="300"/>
                  <w:marRight w:val="0"/>
                  <w:marTop w:val="0"/>
                  <w:marBottom w:val="720"/>
                  <w:divBdr>
                    <w:top w:val="none" w:sz="0" w:space="0" w:color="auto"/>
                    <w:left w:val="none" w:sz="0" w:space="0" w:color="auto"/>
                    <w:bottom w:val="none" w:sz="0" w:space="0" w:color="auto"/>
                    <w:right w:val="none" w:sz="0" w:space="0" w:color="auto"/>
                  </w:divBdr>
                  <w:divsChild>
                    <w:div w:id="1886217414">
                      <w:marLeft w:val="0"/>
                      <w:marRight w:val="0"/>
                      <w:marTop w:val="0"/>
                      <w:marBottom w:val="0"/>
                      <w:divBdr>
                        <w:top w:val="none" w:sz="0" w:space="0" w:color="auto"/>
                        <w:left w:val="none" w:sz="0" w:space="0" w:color="auto"/>
                        <w:bottom w:val="none" w:sz="0" w:space="0" w:color="auto"/>
                        <w:right w:val="none" w:sz="0" w:space="0" w:color="auto"/>
                      </w:divBdr>
                      <w:divsChild>
                        <w:div w:id="18230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51960">
      <w:bodyDiv w:val="1"/>
      <w:marLeft w:val="0"/>
      <w:marRight w:val="0"/>
      <w:marTop w:val="0"/>
      <w:marBottom w:val="0"/>
      <w:divBdr>
        <w:top w:val="none" w:sz="0" w:space="0" w:color="auto"/>
        <w:left w:val="none" w:sz="0" w:space="0" w:color="auto"/>
        <w:bottom w:val="none" w:sz="0" w:space="0" w:color="auto"/>
        <w:right w:val="none" w:sz="0" w:space="0" w:color="auto"/>
      </w:divBdr>
    </w:div>
    <w:div w:id="2077892970">
      <w:bodyDiv w:val="1"/>
      <w:marLeft w:val="0"/>
      <w:marRight w:val="0"/>
      <w:marTop w:val="0"/>
      <w:marBottom w:val="0"/>
      <w:divBdr>
        <w:top w:val="none" w:sz="0" w:space="0" w:color="auto"/>
        <w:left w:val="none" w:sz="0" w:space="0" w:color="auto"/>
        <w:bottom w:val="none" w:sz="0" w:space="0" w:color="auto"/>
        <w:right w:val="none" w:sz="0" w:space="0" w:color="auto"/>
      </w:divBdr>
      <w:divsChild>
        <w:div w:id="76943317">
          <w:marLeft w:val="0"/>
          <w:marRight w:val="0"/>
          <w:marTop w:val="0"/>
          <w:marBottom w:val="0"/>
          <w:divBdr>
            <w:top w:val="none" w:sz="0" w:space="0" w:color="auto"/>
            <w:left w:val="none" w:sz="0" w:space="0" w:color="auto"/>
            <w:bottom w:val="none" w:sz="0" w:space="0" w:color="auto"/>
            <w:right w:val="none" w:sz="0" w:space="0" w:color="auto"/>
          </w:divBdr>
          <w:divsChild>
            <w:div w:id="1657806156">
              <w:marLeft w:val="0"/>
              <w:marRight w:val="0"/>
              <w:marTop w:val="0"/>
              <w:marBottom w:val="0"/>
              <w:divBdr>
                <w:top w:val="none" w:sz="0" w:space="0" w:color="auto"/>
                <w:left w:val="none" w:sz="0" w:space="0" w:color="auto"/>
                <w:bottom w:val="none" w:sz="0" w:space="0" w:color="auto"/>
                <w:right w:val="none" w:sz="0" w:space="0" w:color="auto"/>
              </w:divBdr>
              <w:divsChild>
                <w:div w:id="1571884209">
                  <w:marLeft w:val="300"/>
                  <w:marRight w:val="0"/>
                  <w:marTop w:val="0"/>
                  <w:marBottom w:val="720"/>
                  <w:divBdr>
                    <w:top w:val="none" w:sz="0" w:space="0" w:color="auto"/>
                    <w:left w:val="none" w:sz="0" w:space="0" w:color="auto"/>
                    <w:bottom w:val="none" w:sz="0" w:space="0" w:color="auto"/>
                    <w:right w:val="none" w:sz="0" w:space="0" w:color="auto"/>
                  </w:divBdr>
                  <w:divsChild>
                    <w:div w:id="10785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mpsv.cz/soc/ssl/poskyt/p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Eichlerová Tereza (MHMP, ZSP)</dc:creator>
  <cp:lastModifiedBy>Prokopová Hana (MHMP, ZSP)</cp:lastModifiedBy>
  <cp:revision>2</cp:revision>
  <dcterms:created xsi:type="dcterms:W3CDTF">2014-10-13T14:28:00Z</dcterms:created>
  <dcterms:modified xsi:type="dcterms:W3CDTF">2014-10-13T14:28:00Z</dcterms:modified>
</cp:coreProperties>
</file>