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E0CD" w14:textId="5F68815C" w:rsidR="0062661F" w:rsidRDefault="00047EB0">
      <w:pPr>
        <w:pStyle w:val="Nzev"/>
        <w:rPr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B2E39A" wp14:editId="2DD1A9B6">
                <wp:simplePos x="0" y="0"/>
                <wp:positionH relativeFrom="column">
                  <wp:posOffset>8255</wp:posOffset>
                </wp:positionH>
                <wp:positionV relativeFrom="paragraph">
                  <wp:posOffset>-657225</wp:posOffset>
                </wp:positionV>
                <wp:extent cx="6611620" cy="1480820"/>
                <wp:effectExtent l="9525" t="5080" r="8255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1620" cy="14808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4CF9B" w14:textId="77777777" w:rsidR="00712373" w:rsidRPr="007C6CF8" w:rsidRDefault="00712373" w:rsidP="00712373">
                            <w:pPr>
                              <w:pStyle w:val="Nadpis2"/>
                              <w:overflowPunct/>
                              <w:autoSpaceDE/>
                              <w:autoSpaceDN/>
                              <w:adjustRightInd/>
                              <w:rPr>
                                <w:u w:val="single"/>
                              </w:rPr>
                            </w:pPr>
                            <w:r w:rsidRPr="007C6CF8">
                              <w:rPr>
                                <w:u w:val="single"/>
                              </w:rPr>
                              <w:t xml:space="preserve">Informace </w:t>
                            </w:r>
                          </w:p>
                          <w:p w14:paraId="774D30BE" w14:textId="713D40DD" w:rsidR="00712373" w:rsidRPr="007C6CF8" w:rsidRDefault="00712373" w:rsidP="00712373">
                            <w:pPr>
                              <w:pStyle w:val="Nadpis2"/>
                              <w:overflowPunct/>
                              <w:autoSpaceDE/>
                              <w:autoSpaceDN/>
                              <w:adjustRightInd/>
                              <w:spacing w:beforeLines="100" w:before="240"/>
                            </w:pPr>
                            <w:r w:rsidRPr="007C6CF8">
                              <w:t xml:space="preserve">k vyúčtování neinvestičního grantu poskytnutého z rozpočtu </w:t>
                            </w:r>
                            <w:r w:rsidR="003A279B">
                              <w:t>hlavního města Prahy na rok 202</w:t>
                            </w:r>
                            <w:r w:rsidR="00D9117B">
                              <w:t>5</w:t>
                            </w:r>
                            <w:r w:rsidRPr="007C6CF8">
                              <w:t xml:space="preserve"> </w:t>
                            </w:r>
                            <w:r w:rsidRPr="007C6CF8">
                              <w:rPr>
                                <w:u w:val="single"/>
                              </w:rPr>
                              <w:t>v sociální oblasti</w:t>
                            </w:r>
                            <w:r w:rsidRPr="007C6CF8">
                              <w:rPr>
                                <w:b w:val="0"/>
                              </w:rPr>
                              <w:t xml:space="preserve"> </w:t>
                            </w:r>
                            <w:r w:rsidRPr="007C6CF8">
                              <w:t>pro grantové řízení:</w:t>
                            </w:r>
                          </w:p>
                          <w:p w14:paraId="6753D525" w14:textId="77777777" w:rsidR="00712373" w:rsidRPr="007C6CF8" w:rsidRDefault="00712373" w:rsidP="007123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4CA7B" w14:textId="35B42743" w:rsidR="00712373" w:rsidRPr="007C6CF8" w:rsidRDefault="00712373" w:rsidP="0071237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6C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Podpora registrovaných sociálních služeb </w:t>
                            </w:r>
                            <w:proofErr w:type="gramStart"/>
                            <w:r w:rsidRPr="007C6C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poskytovaných občanům hlavního města Prahy</w:t>
                            </w:r>
                            <w:proofErr w:type="gramEnd"/>
                            <w:r w:rsidRPr="007C6C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A279B" w:rsidRPr="00D9117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pro rok 202</w:t>
                            </w:r>
                            <w:r w:rsidR="00D9117B" w:rsidRPr="00D9117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5</w:t>
                            </w:r>
                          </w:p>
                          <w:p w14:paraId="1C788297" w14:textId="77777777" w:rsidR="00644B08" w:rsidRPr="00F73D4D" w:rsidRDefault="00644B08" w:rsidP="00644B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2E39A" id="Rectangle 6" o:spid="_x0000_s1026" style="position:absolute;left:0;text-align:left;margin-left:.65pt;margin-top:-51.75pt;width:520.6pt;height:11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" fillcolor="#ff9">
                <v:textbox>
                  <w:txbxContent>
                    <w:p w14:paraId="1774CF9B" w14:textId="77777777" w:rsidR="00712373" w:rsidRPr="007C6CF8" w:rsidRDefault="00712373" w:rsidP="00712373">
                      <w:pPr>
                        <w:pStyle w:val="Nadpis2"/>
                        <w:overflowPunct/>
                        <w:autoSpaceDE/>
                        <w:autoSpaceDN/>
                        <w:adjustRightInd/>
                        <w:rPr>
                          <w:u w:val="single"/>
                        </w:rPr>
                      </w:pPr>
                      <w:r w:rsidRPr="007C6CF8">
                        <w:rPr>
                          <w:u w:val="single"/>
                        </w:rPr>
                        <w:t xml:space="preserve">Informace </w:t>
                      </w:r>
                    </w:p>
                    <w:p w14:paraId="774D30BE" w14:textId="713D40DD" w:rsidR="00712373" w:rsidRPr="007C6CF8" w:rsidRDefault="00712373" w:rsidP="00712373">
                      <w:pPr>
                        <w:pStyle w:val="Nadpis2"/>
                        <w:overflowPunct/>
                        <w:autoSpaceDE/>
                        <w:autoSpaceDN/>
                        <w:adjustRightInd/>
                        <w:spacing w:beforeLines="100" w:before="240"/>
                      </w:pPr>
                      <w:r w:rsidRPr="007C6CF8">
                        <w:t xml:space="preserve">k vyúčtování neinvestičního grantu poskytnutého z rozpočtu </w:t>
                      </w:r>
                      <w:r w:rsidR="003A279B">
                        <w:t>hlavního města Prahy na rok 202</w:t>
                      </w:r>
                      <w:r w:rsidR="00D9117B">
                        <w:t>5</w:t>
                      </w:r>
                      <w:r w:rsidRPr="007C6CF8">
                        <w:t xml:space="preserve"> </w:t>
                      </w:r>
                      <w:r w:rsidRPr="007C6CF8">
                        <w:rPr>
                          <w:u w:val="single"/>
                        </w:rPr>
                        <w:t>v sociální oblasti</w:t>
                      </w:r>
                      <w:r w:rsidRPr="007C6CF8">
                        <w:rPr>
                          <w:b w:val="0"/>
                        </w:rPr>
                        <w:t xml:space="preserve"> </w:t>
                      </w:r>
                      <w:r w:rsidRPr="007C6CF8">
                        <w:t>pro grantové řízení:</w:t>
                      </w:r>
                    </w:p>
                    <w:p w14:paraId="6753D525" w14:textId="77777777" w:rsidR="00712373" w:rsidRPr="007C6CF8" w:rsidRDefault="00712373" w:rsidP="007123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4CA7B" w14:textId="35B42743" w:rsidR="00712373" w:rsidRPr="007C6CF8" w:rsidRDefault="00712373" w:rsidP="0071237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C6CF8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Podpora registrovaných sociálních služeb </w:t>
                      </w:r>
                      <w:proofErr w:type="gramStart"/>
                      <w:r w:rsidRPr="007C6CF8">
                        <w:rPr>
                          <w:b/>
                          <w:bCs/>
                          <w:sz w:val="28"/>
                          <w:szCs w:val="28"/>
                        </w:rPr>
                        <w:t>poskytovaných občanům hlavního města Prahy</w:t>
                      </w:r>
                      <w:proofErr w:type="gramEnd"/>
                      <w:r w:rsidRPr="007C6CF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A279B" w:rsidRPr="00D9117B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pro rok 202</w:t>
                      </w:r>
                      <w:r w:rsidR="00D9117B" w:rsidRPr="00D9117B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5</w:t>
                      </w:r>
                    </w:p>
                    <w:p w14:paraId="1C788297" w14:textId="77777777" w:rsidR="00644B08" w:rsidRPr="00F73D4D" w:rsidRDefault="00644B08" w:rsidP="00644B0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476B">
        <w:rPr>
          <w:rStyle w:val="Znakapoznpodarou"/>
          <w:u w:val="none"/>
        </w:rPr>
        <w:footnoteReference w:id="1"/>
      </w:r>
    </w:p>
    <w:p w14:paraId="1CDE1CE0" w14:textId="77777777" w:rsidR="0062661F" w:rsidRDefault="0062661F">
      <w:pPr>
        <w:pStyle w:val="Nzev"/>
        <w:rPr>
          <w:u w:val="none"/>
        </w:rPr>
      </w:pPr>
    </w:p>
    <w:p w14:paraId="10067AE5" w14:textId="77777777" w:rsidR="0062661F" w:rsidRDefault="0062661F">
      <w:pPr>
        <w:spacing w:before="120"/>
        <w:jc w:val="center"/>
        <w:rPr>
          <w:b/>
          <w:bCs/>
          <w:u w:val="single"/>
        </w:rPr>
      </w:pPr>
    </w:p>
    <w:p w14:paraId="63A55B89" w14:textId="77777777" w:rsidR="0062661F" w:rsidRDefault="0062661F">
      <w:pPr>
        <w:spacing w:before="120"/>
        <w:jc w:val="center"/>
        <w:rPr>
          <w:b/>
          <w:bCs/>
          <w:u w:val="single"/>
        </w:rPr>
      </w:pPr>
    </w:p>
    <w:p w14:paraId="59B58763" w14:textId="77777777" w:rsidR="0062661F" w:rsidRDefault="0062661F">
      <w:pPr>
        <w:rPr>
          <w:u w:val="single"/>
        </w:rPr>
      </w:pPr>
    </w:p>
    <w:p w14:paraId="2417BB08" w14:textId="2DDD65E4" w:rsidR="00712373" w:rsidRPr="00A224FB" w:rsidRDefault="00712373" w:rsidP="00712373">
      <w:pPr>
        <w:jc w:val="both"/>
        <w:rPr>
          <w:sz w:val="22"/>
          <w:szCs w:val="22"/>
        </w:rPr>
      </w:pPr>
      <w:r w:rsidRPr="00A224FB">
        <w:rPr>
          <w:sz w:val="22"/>
          <w:szCs w:val="22"/>
        </w:rPr>
        <w:t xml:space="preserve">Finanční prostředky poskytnuté z rozpočtu </w:t>
      </w:r>
      <w:r w:rsidR="003A279B" w:rsidRPr="00A224FB">
        <w:rPr>
          <w:sz w:val="22"/>
          <w:szCs w:val="22"/>
        </w:rPr>
        <w:t>hlavního města Prahy na rok 202</w:t>
      </w:r>
      <w:r w:rsidR="00D9117B" w:rsidRPr="00A224FB">
        <w:rPr>
          <w:sz w:val="22"/>
          <w:szCs w:val="22"/>
        </w:rPr>
        <w:t>5</w:t>
      </w:r>
      <w:r w:rsidRPr="00A224FB">
        <w:rPr>
          <w:sz w:val="22"/>
          <w:szCs w:val="22"/>
        </w:rPr>
        <w:t xml:space="preserve"> je možné použít od prvního dne zahájení poskytování služby do posledního dne jejího ukončení, nejdéle však na úhradu nákladů</w:t>
      </w:r>
      <w:r w:rsidR="004A2BD5" w:rsidRPr="00A224FB">
        <w:rPr>
          <w:sz w:val="22"/>
          <w:szCs w:val="22"/>
        </w:rPr>
        <w:t xml:space="preserve"> běžného roku, tj. od 1. 1. 202</w:t>
      </w:r>
      <w:r w:rsidR="00D9117B" w:rsidRPr="00A224FB">
        <w:rPr>
          <w:sz w:val="22"/>
          <w:szCs w:val="22"/>
        </w:rPr>
        <w:t>5</w:t>
      </w:r>
      <w:r w:rsidR="004A2BD5" w:rsidRPr="00A224FB">
        <w:rPr>
          <w:sz w:val="22"/>
          <w:szCs w:val="22"/>
        </w:rPr>
        <w:t xml:space="preserve"> do 31. 12. 202</w:t>
      </w:r>
      <w:r w:rsidR="00D9117B" w:rsidRPr="00A224FB">
        <w:rPr>
          <w:sz w:val="22"/>
          <w:szCs w:val="22"/>
        </w:rPr>
        <w:t>5</w:t>
      </w:r>
      <w:r w:rsidRPr="00A224FB">
        <w:rPr>
          <w:sz w:val="22"/>
          <w:szCs w:val="22"/>
        </w:rPr>
        <w:t xml:space="preserve"> včetně. A k tomuto datu je nutné vyhotovit vyúčtování grantu.</w:t>
      </w:r>
    </w:p>
    <w:p w14:paraId="3D6EE21F" w14:textId="2F47C568" w:rsidR="00712373" w:rsidRPr="00A224FB" w:rsidRDefault="00712373" w:rsidP="00712373">
      <w:pPr>
        <w:pStyle w:val="Zkladntext"/>
        <w:spacing w:before="120"/>
        <w:rPr>
          <w:b/>
          <w:sz w:val="22"/>
          <w:szCs w:val="22"/>
        </w:rPr>
      </w:pPr>
      <w:r w:rsidRPr="00A224FB">
        <w:rPr>
          <w:sz w:val="22"/>
          <w:szCs w:val="22"/>
        </w:rPr>
        <w:t>V souladu se smlouvou o poskytnutí dotace musí bý</w:t>
      </w:r>
      <w:r w:rsidR="003A279B" w:rsidRPr="00A224FB">
        <w:rPr>
          <w:sz w:val="22"/>
          <w:szCs w:val="22"/>
        </w:rPr>
        <w:t>t neinvestiční grant za rok 202</w:t>
      </w:r>
      <w:r w:rsidR="00D9117B" w:rsidRPr="00A224FB">
        <w:rPr>
          <w:sz w:val="22"/>
          <w:szCs w:val="22"/>
        </w:rPr>
        <w:t>5</w:t>
      </w:r>
      <w:r w:rsidRPr="00A224FB">
        <w:rPr>
          <w:sz w:val="22"/>
          <w:szCs w:val="22"/>
        </w:rPr>
        <w:t xml:space="preserve"> řádně vyúčtován a předložen odboru sociálních věcí, Magistrátu hlavního města Prahy </w:t>
      </w:r>
      <w:r w:rsidRPr="00A224FB">
        <w:rPr>
          <w:b/>
          <w:sz w:val="22"/>
          <w:szCs w:val="22"/>
        </w:rPr>
        <w:t>nejpozd</w:t>
      </w:r>
      <w:r w:rsidR="003A279B" w:rsidRPr="00A224FB">
        <w:rPr>
          <w:b/>
          <w:sz w:val="22"/>
          <w:szCs w:val="22"/>
        </w:rPr>
        <w:t>ěji do 31. ledna 202</w:t>
      </w:r>
      <w:r w:rsidR="00E1605B" w:rsidRPr="00A224FB">
        <w:rPr>
          <w:b/>
          <w:sz w:val="22"/>
          <w:szCs w:val="22"/>
        </w:rPr>
        <w:t>6</w:t>
      </w:r>
      <w:r w:rsidRPr="00A224FB">
        <w:rPr>
          <w:b/>
          <w:sz w:val="22"/>
          <w:szCs w:val="22"/>
        </w:rPr>
        <w:t xml:space="preserve"> </w:t>
      </w:r>
      <w:r w:rsidRPr="00A224FB">
        <w:rPr>
          <w:sz w:val="22"/>
          <w:szCs w:val="22"/>
        </w:rPr>
        <w:t>(</w:t>
      </w:r>
      <w:r w:rsidRPr="00A224FB">
        <w:rPr>
          <w:b/>
          <w:sz w:val="22"/>
          <w:szCs w:val="22"/>
        </w:rPr>
        <w:t>rozhodující datum je odeslání na HMP).</w:t>
      </w:r>
    </w:p>
    <w:p w14:paraId="61E58C49" w14:textId="3A867C1C" w:rsidR="0005344D" w:rsidRPr="00A224FB" w:rsidRDefault="0005344D" w:rsidP="00712373">
      <w:pPr>
        <w:pStyle w:val="Zkladntext"/>
        <w:spacing w:before="120"/>
        <w:rPr>
          <w:b/>
          <w:sz w:val="22"/>
          <w:szCs w:val="22"/>
        </w:rPr>
      </w:pPr>
      <w:r w:rsidRPr="00A224FB">
        <w:rPr>
          <w:sz w:val="22"/>
          <w:szCs w:val="22"/>
        </w:rPr>
        <w:t xml:space="preserve">Finanční prostředky poskytnuté na základě vyhlášeného Programu podpory registrovaných sociálních služeb </w:t>
      </w:r>
      <w:proofErr w:type="gramStart"/>
      <w:r w:rsidRPr="00A224FB">
        <w:rPr>
          <w:sz w:val="22"/>
          <w:szCs w:val="22"/>
        </w:rPr>
        <w:t>poskytovaných občanům hlavního města Prahy</w:t>
      </w:r>
      <w:proofErr w:type="gramEnd"/>
      <w:r w:rsidRPr="00A224FB">
        <w:rPr>
          <w:sz w:val="22"/>
          <w:szCs w:val="22"/>
        </w:rPr>
        <w:t xml:space="preserve"> pro rok 202</w:t>
      </w:r>
      <w:r w:rsidR="00D9117B" w:rsidRPr="00A224FB">
        <w:rPr>
          <w:sz w:val="22"/>
          <w:szCs w:val="22"/>
        </w:rPr>
        <w:t>6</w:t>
      </w:r>
      <w:r w:rsidRPr="00A224FB">
        <w:rPr>
          <w:sz w:val="22"/>
          <w:szCs w:val="22"/>
        </w:rPr>
        <w:t xml:space="preserve"> (usnesení Rady HMP č. </w:t>
      </w:r>
      <w:r w:rsidR="00395F2F" w:rsidRPr="00A224FB">
        <w:rPr>
          <w:sz w:val="22"/>
          <w:szCs w:val="22"/>
        </w:rPr>
        <w:t>1798</w:t>
      </w:r>
      <w:r w:rsidRPr="00A224FB">
        <w:rPr>
          <w:sz w:val="22"/>
          <w:szCs w:val="22"/>
        </w:rPr>
        <w:t xml:space="preserve"> ze dne </w:t>
      </w:r>
      <w:r w:rsidR="00395F2F" w:rsidRPr="00A224FB">
        <w:rPr>
          <w:sz w:val="22"/>
          <w:szCs w:val="22"/>
        </w:rPr>
        <w:t>2</w:t>
      </w:r>
      <w:r w:rsidR="003D75B8" w:rsidRPr="00A224FB">
        <w:rPr>
          <w:sz w:val="22"/>
          <w:szCs w:val="22"/>
        </w:rPr>
        <w:t xml:space="preserve">. 9. </w:t>
      </w:r>
      <w:r w:rsidRPr="00A224FB">
        <w:rPr>
          <w:sz w:val="22"/>
          <w:szCs w:val="22"/>
        </w:rPr>
        <w:t>202</w:t>
      </w:r>
      <w:r w:rsidR="005335E7" w:rsidRPr="00A224FB">
        <w:rPr>
          <w:sz w:val="22"/>
          <w:szCs w:val="22"/>
        </w:rPr>
        <w:t>4</w:t>
      </w:r>
      <w:r w:rsidRPr="00A224FB">
        <w:rPr>
          <w:sz w:val="22"/>
          <w:szCs w:val="22"/>
        </w:rPr>
        <w:t xml:space="preserve">). </w:t>
      </w:r>
    </w:p>
    <w:p w14:paraId="3E43C23B" w14:textId="77777777" w:rsidR="00712373" w:rsidRPr="00A224FB" w:rsidRDefault="00712373" w:rsidP="00712373">
      <w:pPr>
        <w:jc w:val="both"/>
        <w:rPr>
          <w:sz w:val="22"/>
          <w:szCs w:val="22"/>
        </w:rPr>
      </w:pPr>
    </w:p>
    <w:p w14:paraId="487F38FC" w14:textId="57A46171" w:rsidR="003A279B" w:rsidRPr="00A224FB" w:rsidRDefault="00712373" w:rsidP="003A279B">
      <w:pPr>
        <w:rPr>
          <w:sz w:val="22"/>
          <w:szCs w:val="22"/>
        </w:rPr>
      </w:pPr>
      <w:r w:rsidRPr="00A224FB">
        <w:rPr>
          <w:sz w:val="22"/>
          <w:szCs w:val="22"/>
        </w:rPr>
        <w:t xml:space="preserve">Pokud nebyly poskytnuté finanční prostředky čerpány v souladu s pravidly a podmínkami grantového řízení nebo se smlouvou o poskytnutí grantu, </w:t>
      </w:r>
      <w:r w:rsidRPr="00A224FB">
        <w:rPr>
          <w:b/>
          <w:sz w:val="22"/>
          <w:szCs w:val="22"/>
        </w:rPr>
        <w:t xml:space="preserve">musí být nevyčerpané prostředky vráceny </w:t>
      </w:r>
      <w:r w:rsidR="000A26A6" w:rsidRPr="00A224FB">
        <w:rPr>
          <w:b/>
          <w:bCs/>
          <w:sz w:val="22"/>
          <w:szCs w:val="22"/>
        </w:rPr>
        <w:t>do 31. ledna 202</w:t>
      </w:r>
      <w:r w:rsidR="00D9117B" w:rsidRPr="00A224FB">
        <w:rPr>
          <w:b/>
          <w:bCs/>
          <w:sz w:val="22"/>
          <w:szCs w:val="22"/>
        </w:rPr>
        <w:t>6</w:t>
      </w:r>
      <w:r w:rsidRPr="00A224FB">
        <w:rPr>
          <w:b/>
          <w:sz w:val="22"/>
          <w:szCs w:val="22"/>
        </w:rPr>
        <w:t xml:space="preserve"> na účet hlavního města Prahy: 5157998/6000</w:t>
      </w:r>
      <w:r w:rsidRPr="00A224FB">
        <w:rPr>
          <w:sz w:val="22"/>
          <w:szCs w:val="22"/>
        </w:rPr>
        <w:t xml:space="preserve"> (jako variabilní symbol se uvádí IČO příjemce grantu, specifický symbol: </w:t>
      </w:r>
      <w:r w:rsidRPr="00A224FB">
        <w:rPr>
          <w:b/>
          <w:bCs/>
          <w:sz w:val="22"/>
          <w:szCs w:val="22"/>
        </w:rPr>
        <w:t>98210</w:t>
      </w:r>
      <w:r w:rsidR="003A279B" w:rsidRPr="00A224FB">
        <w:rPr>
          <w:b/>
          <w:bCs/>
          <w:sz w:val="22"/>
          <w:szCs w:val="22"/>
        </w:rPr>
        <w:t>).</w:t>
      </w:r>
    </w:p>
    <w:p w14:paraId="53B9F66F" w14:textId="77777777" w:rsidR="007C6CF8" w:rsidRPr="00A224FB" w:rsidRDefault="007C6CF8" w:rsidP="003A279B">
      <w:pPr>
        <w:rPr>
          <w:sz w:val="22"/>
          <w:szCs w:val="22"/>
        </w:rPr>
      </w:pPr>
    </w:p>
    <w:p w14:paraId="202FE6D4" w14:textId="53692A22" w:rsidR="00A7017B" w:rsidRPr="00A224FB" w:rsidRDefault="00A7017B" w:rsidP="00A7017B">
      <w:pPr>
        <w:spacing w:after="100" w:afterAutospacing="1"/>
        <w:jc w:val="both"/>
        <w:rPr>
          <w:sz w:val="22"/>
          <w:szCs w:val="22"/>
        </w:rPr>
      </w:pPr>
      <w:r w:rsidRPr="00A224FB">
        <w:rPr>
          <w:sz w:val="22"/>
          <w:szCs w:val="22"/>
        </w:rPr>
        <w:t xml:space="preserve">Kompletně vyplněné finanční vypořádání </w:t>
      </w:r>
      <w:r w:rsidR="007C79CA" w:rsidRPr="00A224FB">
        <w:rPr>
          <w:sz w:val="22"/>
          <w:szCs w:val="22"/>
        </w:rPr>
        <w:t>se doručuje v </w:t>
      </w:r>
      <w:r w:rsidR="007C79CA" w:rsidRPr="00A224FB">
        <w:rPr>
          <w:b/>
          <w:sz w:val="22"/>
          <w:szCs w:val="22"/>
        </w:rPr>
        <w:t xml:space="preserve">elektronické podobě </w:t>
      </w:r>
      <w:r w:rsidR="00B30C2A" w:rsidRPr="00A224FB">
        <w:rPr>
          <w:b/>
          <w:sz w:val="22"/>
          <w:szCs w:val="22"/>
        </w:rPr>
        <w:t xml:space="preserve">prostřednictvím on-line formuláře, který </w:t>
      </w:r>
      <w:r w:rsidR="002F578D" w:rsidRPr="00A224FB">
        <w:rPr>
          <w:b/>
          <w:sz w:val="22"/>
          <w:szCs w:val="22"/>
        </w:rPr>
        <w:t>je</w:t>
      </w:r>
      <w:r w:rsidR="00B30C2A" w:rsidRPr="00A224FB">
        <w:rPr>
          <w:b/>
          <w:sz w:val="22"/>
          <w:szCs w:val="22"/>
        </w:rPr>
        <w:t xml:space="preserve"> k dispozici na </w:t>
      </w:r>
      <w:r w:rsidR="00933A74" w:rsidRPr="00A224FB">
        <w:rPr>
          <w:b/>
          <w:sz w:val="22"/>
          <w:szCs w:val="22"/>
        </w:rPr>
        <w:t>P</w:t>
      </w:r>
      <w:r w:rsidR="00B30C2A" w:rsidRPr="00A224FB">
        <w:rPr>
          <w:b/>
          <w:sz w:val="22"/>
          <w:szCs w:val="22"/>
        </w:rPr>
        <w:t xml:space="preserve">ortálu </w:t>
      </w:r>
      <w:r w:rsidR="0040793A" w:rsidRPr="00A224FB">
        <w:rPr>
          <w:b/>
          <w:sz w:val="22"/>
          <w:szCs w:val="22"/>
        </w:rPr>
        <w:t xml:space="preserve">Informačního systému </w:t>
      </w:r>
      <w:r w:rsidR="00B30C2A" w:rsidRPr="00A224FB">
        <w:rPr>
          <w:b/>
          <w:sz w:val="22"/>
          <w:szCs w:val="22"/>
        </w:rPr>
        <w:t>finanční</w:t>
      </w:r>
      <w:r w:rsidR="0040793A" w:rsidRPr="00A224FB">
        <w:rPr>
          <w:b/>
          <w:sz w:val="22"/>
          <w:szCs w:val="22"/>
        </w:rPr>
        <w:t xml:space="preserve">ch </w:t>
      </w:r>
      <w:r w:rsidR="00B30C2A" w:rsidRPr="00A224FB">
        <w:rPr>
          <w:b/>
          <w:sz w:val="22"/>
          <w:szCs w:val="22"/>
        </w:rPr>
        <w:t>podpor</w:t>
      </w:r>
      <w:r w:rsidR="0040793A" w:rsidRPr="00A224FB">
        <w:rPr>
          <w:b/>
          <w:sz w:val="22"/>
          <w:szCs w:val="22"/>
        </w:rPr>
        <w:t xml:space="preserve"> HMP</w:t>
      </w:r>
      <w:r w:rsidR="00B30C2A" w:rsidRPr="00A224FB">
        <w:rPr>
          <w:b/>
          <w:sz w:val="22"/>
          <w:szCs w:val="22"/>
        </w:rPr>
        <w:t xml:space="preserve"> </w:t>
      </w:r>
      <w:r w:rsidR="00B30C2A" w:rsidRPr="00A224FB">
        <w:rPr>
          <w:bCs/>
          <w:sz w:val="22"/>
          <w:szCs w:val="22"/>
        </w:rPr>
        <w:t>na internetových stránkách HMP</w:t>
      </w:r>
      <w:r w:rsidR="00B30C2A" w:rsidRPr="00A224FB">
        <w:rPr>
          <w:b/>
          <w:sz w:val="22"/>
          <w:szCs w:val="22"/>
        </w:rPr>
        <w:t xml:space="preserve"> </w:t>
      </w:r>
      <w:hyperlink r:id="rId10" w:history="1">
        <w:r w:rsidR="0040793A" w:rsidRPr="00A224FB">
          <w:rPr>
            <w:rStyle w:val="Hypertextovodkaz"/>
            <w:b/>
            <w:sz w:val="22"/>
            <w:szCs w:val="22"/>
          </w:rPr>
          <w:t>https://granty.praha.eu/GrantyPortal/default</w:t>
        </w:r>
      </w:hyperlink>
      <w:r w:rsidR="00B30C2A" w:rsidRPr="00A224FB">
        <w:rPr>
          <w:b/>
          <w:sz w:val="22"/>
          <w:szCs w:val="22"/>
        </w:rPr>
        <w:t>,</w:t>
      </w:r>
      <w:r w:rsidR="00857FAD" w:rsidRPr="00A224FB">
        <w:rPr>
          <w:b/>
          <w:sz w:val="22"/>
          <w:szCs w:val="22"/>
        </w:rPr>
        <w:t xml:space="preserve"> </w:t>
      </w:r>
      <w:r w:rsidR="00A626B4" w:rsidRPr="00A224FB">
        <w:rPr>
          <w:b/>
          <w:sz w:val="22"/>
          <w:szCs w:val="22"/>
        </w:rPr>
        <w:t>(</w:t>
      </w:r>
      <w:r w:rsidR="00E45B78" w:rsidRPr="00A224FB">
        <w:rPr>
          <w:bCs/>
          <w:sz w:val="22"/>
          <w:szCs w:val="22"/>
        </w:rPr>
        <w:t>on-line</w:t>
      </w:r>
      <w:r w:rsidR="00E45B78" w:rsidRPr="00A224FB">
        <w:rPr>
          <w:b/>
          <w:sz w:val="22"/>
          <w:szCs w:val="22"/>
        </w:rPr>
        <w:t xml:space="preserve"> </w:t>
      </w:r>
      <w:r w:rsidR="00A626B4" w:rsidRPr="00A224FB">
        <w:rPr>
          <w:bCs/>
          <w:sz w:val="22"/>
          <w:szCs w:val="22"/>
        </w:rPr>
        <w:t>formulář</w:t>
      </w:r>
      <w:r w:rsidR="00857FAD" w:rsidRPr="00A224FB">
        <w:rPr>
          <w:bCs/>
          <w:sz w:val="22"/>
          <w:szCs w:val="22"/>
        </w:rPr>
        <w:t xml:space="preserve"> bude zpřístupněn pro předvyplnění </w:t>
      </w:r>
      <w:r w:rsidR="00A626B4" w:rsidRPr="00A224FB">
        <w:rPr>
          <w:bCs/>
          <w:sz w:val="22"/>
          <w:szCs w:val="22"/>
        </w:rPr>
        <w:t>od 1. 12. 2025 na profilech žadatel) kde</w:t>
      </w:r>
      <w:r w:rsidR="00B30C2A" w:rsidRPr="00A224FB">
        <w:rPr>
          <w:bCs/>
          <w:sz w:val="22"/>
          <w:szCs w:val="22"/>
        </w:rPr>
        <w:t xml:space="preserve"> je k dispozici i návod.</w:t>
      </w:r>
      <w:r w:rsidR="00B30C2A" w:rsidRPr="00A224FB">
        <w:rPr>
          <w:b/>
          <w:sz w:val="22"/>
          <w:szCs w:val="22"/>
        </w:rPr>
        <w:t xml:space="preserve"> </w:t>
      </w:r>
      <w:r w:rsidRPr="00A224FB">
        <w:rPr>
          <w:b/>
          <w:sz w:val="22"/>
          <w:szCs w:val="22"/>
        </w:rPr>
        <w:t xml:space="preserve"> </w:t>
      </w:r>
    </w:p>
    <w:p w14:paraId="68B71912" w14:textId="77777777" w:rsidR="0005344D" w:rsidRPr="00A224FB" w:rsidRDefault="00A7017B" w:rsidP="0005344D">
      <w:pPr>
        <w:spacing w:after="100" w:afterAutospacing="1"/>
        <w:jc w:val="both"/>
        <w:rPr>
          <w:sz w:val="22"/>
          <w:szCs w:val="22"/>
        </w:rPr>
      </w:pPr>
      <w:r w:rsidRPr="00A224FB">
        <w:rPr>
          <w:sz w:val="22"/>
          <w:szCs w:val="22"/>
        </w:rPr>
        <w:t xml:space="preserve">Po úspěšném odeslání se ve formuláři objeví informace </w:t>
      </w:r>
      <w:r w:rsidR="00C328BC" w:rsidRPr="00A224FB">
        <w:rPr>
          <w:sz w:val="22"/>
          <w:szCs w:val="22"/>
        </w:rPr>
        <w:t xml:space="preserve">o </w:t>
      </w:r>
      <w:r w:rsidR="006010E6" w:rsidRPr="00A224FB">
        <w:rPr>
          <w:sz w:val="22"/>
          <w:szCs w:val="22"/>
        </w:rPr>
        <w:t>potvrzení elektronického</w:t>
      </w:r>
      <w:r w:rsidR="001C4E4D" w:rsidRPr="00A224FB">
        <w:rPr>
          <w:sz w:val="22"/>
          <w:szCs w:val="22"/>
        </w:rPr>
        <w:t xml:space="preserve"> </w:t>
      </w:r>
      <w:r w:rsidR="00C328BC" w:rsidRPr="00A224FB">
        <w:rPr>
          <w:sz w:val="22"/>
          <w:szCs w:val="22"/>
        </w:rPr>
        <w:t xml:space="preserve">podání </w:t>
      </w:r>
      <w:r w:rsidR="001C4E4D" w:rsidRPr="00A224FB">
        <w:rPr>
          <w:sz w:val="22"/>
          <w:szCs w:val="22"/>
        </w:rPr>
        <w:t xml:space="preserve">formuláře </w:t>
      </w:r>
      <w:r w:rsidRPr="00A224FB">
        <w:rPr>
          <w:sz w:val="22"/>
          <w:szCs w:val="22"/>
        </w:rPr>
        <w:t xml:space="preserve">a na první straně se vygeneruje shodný čárový kód. Vyúčtování </w:t>
      </w:r>
      <w:r w:rsidR="007F5436" w:rsidRPr="00A224FB">
        <w:rPr>
          <w:sz w:val="22"/>
          <w:szCs w:val="22"/>
        </w:rPr>
        <w:t>musí být následně odesláno</w:t>
      </w:r>
      <w:r w:rsidR="0005344D" w:rsidRPr="00A224FB">
        <w:rPr>
          <w:sz w:val="22"/>
          <w:szCs w:val="22"/>
        </w:rPr>
        <w:t xml:space="preserve"> </w:t>
      </w:r>
      <w:r w:rsidR="0005344D" w:rsidRPr="00A224FB">
        <w:rPr>
          <w:b/>
          <w:sz w:val="22"/>
          <w:szCs w:val="22"/>
        </w:rPr>
        <w:t>ve formátu PDF</w:t>
      </w:r>
      <w:r w:rsidR="007F5436" w:rsidRPr="00A224FB">
        <w:rPr>
          <w:sz w:val="22"/>
          <w:szCs w:val="22"/>
        </w:rPr>
        <w:t xml:space="preserve"> </w:t>
      </w:r>
      <w:r w:rsidR="007F5436" w:rsidRPr="00A224FB">
        <w:rPr>
          <w:b/>
          <w:sz w:val="22"/>
          <w:szCs w:val="22"/>
        </w:rPr>
        <w:t>i</w:t>
      </w:r>
      <w:r w:rsidRPr="00A224FB">
        <w:rPr>
          <w:b/>
          <w:sz w:val="22"/>
          <w:szCs w:val="22"/>
        </w:rPr>
        <w:t xml:space="preserve"> prostřednictvím datové schránky</w:t>
      </w:r>
      <w:r w:rsidR="0005344D" w:rsidRPr="00A224FB">
        <w:rPr>
          <w:sz w:val="22"/>
          <w:szCs w:val="22"/>
        </w:rPr>
        <w:t xml:space="preserve"> (</w:t>
      </w:r>
      <w:r w:rsidR="0005344D" w:rsidRPr="00A224FB">
        <w:rPr>
          <w:b/>
          <w:sz w:val="22"/>
          <w:szCs w:val="22"/>
        </w:rPr>
        <w:t>včetně příloh).</w:t>
      </w:r>
      <w:r w:rsidRPr="00A224FB">
        <w:rPr>
          <w:sz w:val="22"/>
          <w:szCs w:val="22"/>
        </w:rPr>
        <w:t xml:space="preserve"> Tímto krokem bude pro</w:t>
      </w:r>
      <w:r w:rsidR="0005344D" w:rsidRPr="00A224FB">
        <w:rPr>
          <w:sz w:val="22"/>
          <w:szCs w:val="22"/>
        </w:rPr>
        <w:t>ces podání vyúčtování dokončen.</w:t>
      </w:r>
    </w:p>
    <w:p w14:paraId="5349C15F" w14:textId="77777777" w:rsidR="002C4E94" w:rsidRPr="00A224FB" w:rsidRDefault="002C4E94" w:rsidP="0005344D">
      <w:pPr>
        <w:spacing w:after="100" w:afterAutospacing="1"/>
        <w:jc w:val="both"/>
        <w:rPr>
          <w:sz w:val="22"/>
          <w:szCs w:val="22"/>
        </w:rPr>
      </w:pPr>
      <w:r w:rsidRPr="00A224FB">
        <w:rPr>
          <w:b/>
          <w:sz w:val="22"/>
          <w:szCs w:val="22"/>
        </w:rPr>
        <w:t xml:space="preserve">Obě verze finančního vypořádání </w:t>
      </w:r>
      <w:r w:rsidR="00D06F7F" w:rsidRPr="00A224FB">
        <w:rPr>
          <w:b/>
          <w:sz w:val="22"/>
          <w:szCs w:val="22"/>
        </w:rPr>
        <w:t>dotace</w:t>
      </w:r>
      <w:r w:rsidRPr="00A224FB">
        <w:rPr>
          <w:b/>
          <w:sz w:val="22"/>
          <w:szCs w:val="22"/>
        </w:rPr>
        <w:t xml:space="preserve"> musejí být identické</w:t>
      </w:r>
      <w:r w:rsidR="00F86FF0" w:rsidRPr="00A224FB">
        <w:rPr>
          <w:b/>
          <w:sz w:val="22"/>
          <w:szCs w:val="22"/>
        </w:rPr>
        <w:t>,</w:t>
      </w:r>
      <w:r w:rsidRPr="00A224FB">
        <w:rPr>
          <w:b/>
          <w:sz w:val="22"/>
          <w:szCs w:val="22"/>
        </w:rPr>
        <w:t xml:space="preserve"> a to včetně příloh.</w:t>
      </w:r>
    </w:p>
    <w:p w14:paraId="4F8C40B0" w14:textId="7FDA08EC" w:rsidR="00C47169" w:rsidRPr="00A224FB" w:rsidRDefault="00C47169" w:rsidP="002C4E94">
      <w:pPr>
        <w:spacing w:after="120" w:line="320" w:lineRule="atLeast"/>
        <w:jc w:val="both"/>
        <w:rPr>
          <w:b/>
          <w:i/>
          <w:sz w:val="22"/>
          <w:szCs w:val="22"/>
        </w:rPr>
      </w:pPr>
      <w:r w:rsidRPr="00A224FB">
        <w:rPr>
          <w:sz w:val="22"/>
          <w:szCs w:val="22"/>
        </w:rPr>
        <w:t xml:space="preserve">Finanční vypořádání dotace se datovou zprávou doručuje, na </w:t>
      </w:r>
      <w:r w:rsidR="002436FE" w:rsidRPr="00A224FB">
        <w:rPr>
          <w:sz w:val="22"/>
          <w:szCs w:val="22"/>
        </w:rPr>
        <w:t>adresu: ID</w:t>
      </w:r>
      <w:r w:rsidRPr="00A224FB">
        <w:rPr>
          <w:sz w:val="22"/>
          <w:szCs w:val="22"/>
        </w:rPr>
        <w:t xml:space="preserve"> datové schránky: 48ia97h, s označením datové zprávy </w:t>
      </w:r>
      <w:r w:rsidRPr="00A224FB">
        <w:rPr>
          <w:b/>
          <w:sz w:val="22"/>
          <w:szCs w:val="22"/>
        </w:rPr>
        <w:t>„</w:t>
      </w:r>
      <w:r w:rsidR="007F5436" w:rsidRPr="00A224FB">
        <w:rPr>
          <w:b/>
          <w:i/>
          <w:sz w:val="22"/>
          <w:szCs w:val="22"/>
        </w:rPr>
        <w:t>Vyúčtování granty 202</w:t>
      </w:r>
      <w:r w:rsidR="003820BE" w:rsidRPr="00A224FB">
        <w:rPr>
          <w:b/>
          <w:i/>
          <w:sz w:val="22"/>
          <w:szCs w:val="22"/>
        </w:rPr>
        <w:t>5</w:t>
      </w:r>
      <w:r w:rsidRPr="00A224FB">
        <w:rPr>
          <w:b/>
          <w:i/>
          <w:sz w:val="22"/>
          <w:szCs w:val="22"/>
        </w:rPr>
        <w:t xml:space="preserve"> – sociální oblast.“</w:t>
      </w:r>
    </w:p>
    <w:p w14:paraId="529A7E59" w14:textId="77777777" w:rsidR="00536368" w:rsidRPr="00A224FB" w:rsidRDefault="00C47169" w:rsidP="00536368">
      <w:pPr>
        <w:spacing w:after="120" w:line="320" w:lineRule="atLeast"/>
        <w:jc w:val="both"/>
        <w:rPr>
          <w:b/>
          <w:sz w:val="22"/>
          <w:szCs w:val="22"/>
        </w:rPr>
      </w:pPr>
      <w:r w:rsidRPr="00A224FB">
        <w:rPr>
          <w:b/>
          <w:sz w:val="22"/>
          <w:szCs w:val="22"/>
        </w:rPr>
        <w:t xml:space="preserve">Pro dodržení lhůty je rozhodující </w:t>
      </w:r>
      <w:r w:rsidR="002C4E94" w:rsidRPr="00A224FB">
        <w:rPr>
          <w:b/>
          <w:sz w:val="22"/>
          <w:szCs w:val="22"/>
        </w:rPr>
        <w:t>datum odeslání</w:t>
      </w:r>
      <w:r w:rsidRPr="00A224FB">
        <w:rPr>
          <w:b/>
          <w:sz w:val="22"/>
          <w:szCs w:val="22"/>
        </w:rPr>
        <w:t xml:space="preserve"> finančního vypořádání </w:t>
      </w:r>
      <w:r w:rsidR="002C4E94" w:rsidRPr="00A224FB">
        <w:rPr>
          <w:b/>
          <w:sz w:val="22"/>
          <w:szCs w:val="22"/>
        </w:rPr>
        <w:t>na HMP</w:t>
      </w:r>
      <w:r w:rsidRPr="00A224FB">
        <w:rPr>
          <w:sz w:val="22"/>
          <w:szCs w:val="22"/>
        </w:rPr>
        <w:t xml:space="preserve"> </w:t>
      </w:r>
      <w:r w:rsidRPr="00A224FB">
        <w:rPr>
          <w:b/>
          <w:sz w:val="22"/>
          <w:szCs w:val="22"/>
        </w:rPr>
        <w:t>datovou schránkou.</w:t>
      </w:r>
    </w:p>
    <w:p w14:paraId="0BEDF114" w14:textId="77777777" w:rsidR="0005344D" w:rsidRPr="00A224FB" w:rsidRDefault="0005344D" w:rsidP="00536368">
      <w:pPr>
        <w:spacing w:after="120" w:line="320" w:lineRule="atLeast"/>
        <w:jc w:val="both"/>
        <w:rPr>
          <w:b/>
          <w:bCs/>
          <w:i/>
          <w:sz w:val="22"/>
          <w:szCs w:val="22"/>
          <w:u w:val="single"/>
        </w:rPr>
      </w:pPr>
    </w:p>
    <w:p w14:paraId="42465073" w14:textId="77777777" w:rsidR="0062661F" w:rsidRPr="00A224FB" w:rsidRDefault="0062661F" w:rsidP="00536368">
      <w:pPr>
        <w:spacing w:after="120" w:line="320" w:lineRule="atLeast"/>
        <w:jc w:val="both"/>
        <w:rPr>
          <w:b/>
          <w:sz w:val="22"/>
          <w:szCs w:val="22"/>
        </w:rPr>
      </w:pPr>
      <w:r w:rsidRPr="00A224FB">
        <w:rPr>
          <w:b/>
          <w:bCs/>
          <w:i/>
          <w:sz w:val="22"/>
          <w:szCs w:val="22"/>
          <w:u w:val="single"/>
        </w:rPr>
        <w:t>Důležité upozornění!!!</w:t>
      </w:r>
      <w:r w:rsidR="005F5765" w:rsidRPr="00A224FB">
        <w:rPr>
          <w:b/>
          <w:bCs/>
          <w:i/>
          <w:sz w:val="22"/>
          <w:szCs w:val="22"/>
          <w:u w:val="single"/>
        </w:rPr>
        <w:t xml:space="preserve"> </w:t>
      </w:r>
      <w:r w:rsidRPr="00A224FB">
        <w:rPr>
          <w:b/>
          <w:bCs/>
          <w:i/>
          <w:sz w:val="22"/>
          <w:szCs w:val="22"/>
          <w:u w:val="single"/>
        </w:rPr>
        <w:t xml:space="preserve">Organizace vyplňuje </w:t>
      </w:r>
      <w:r w:rsidR="005F5765" w:rsidRPr="00A224FB">
        <w:rPr>
          <w:b/>
          <w:bCs/>
          <w:i/>
          <w:sz w:val="22"/>
          <w:szCs w:val="22"/>
          <w:u w:val="single"/>
        </w:rPr>
        <w:t>za každou sociální službu jeden</w:t>
      </w:r>
      <w:r w:rsidRPr="00A224FB">
        <w:rPr>
          <w:b/>
          <w:bCs/>
          <w:i/>
          <w:sz w:val="22"/>
          <w:szCs w:val="22"/>
          <w:u w:val="single"/>
        </w:rPr>
        <w:t xml:space="preserve"> </w:t>
      </w:r>
      <w:r w:rsidR="005F5765" w:rsidRPr="00A224FB">
        <w:rPr>
          <w:b/>
          <w:bCs/>
          <w:i/>
          <w:sz w:val="22"/>
          <w:szCs w:val="22"/>
          <w:u w:val="single"/>
        </w:rPr>
        <w:t>formulář.</w:t>
      </w:r>
    </w:p>
    <w:p w14:paraId="1E8930DC" w14:textId="77777777" w:rsidR="0005344D" w:rsidRPr="00A224FB" w:rsidRDefault="0005344D" w:rsidP="0005344D">
      <w:pPr>
        <w:spacing w:after="120" w:line="320" w:lineRule="exact"/>
        <w:jc w:val="both"/>
        <w:rPr>
          <w:bCs/>
          <w:sz w:val="22"/>
          <w:szCs w:val="22"/>
        </w:rPr>
      </w:pPr>
      <w:r w:rsidRPr="00A224FB">
        <w:rPr>
          <w:sz w:val="22"/>
          <w:szCs w:val="22"/>
        </w:rPr>
        <w:t>Zálohová faktura se nepovažuje za podklad k závěrečnému finančnímu vypořádání.</w:t>
      </w:r>
    </w:p>
    <w:p w14:paraId="10241CAD" w14:textId="77777777" w:rsidR="00A7017B" w:rsidRPr="006010E6" w:rsidRDefault="00A7017B">
      <w:pPr>
        <w:jc w:val="both"/>
        <w:rPr>
          <w:b/>
          <w:bCs/>
          <w:sz w:val="22"/>
          <w:szCs w:val="22"/>
        </w:rPr>
      </w:pPr>
    </w:p>
    <w:p w14:paraId="546CC787" w14:textId="77777777" w:rsidR="0062661F" w:rsidRPr="006010E6" w:rsidRDefault="0062661F">
      <w:pPr>
        <w:jc w:val="both"/>
        <w:rPr>
          <w:b/>
          <w:bCs/>
          <w:sz w:val="22"/>
          <w:szCs w:val="22"/>
        </w:rPr>
      </w:pPr>
      <w:r w:rsidRPr="006010E6">
        <w:rPr>
          <w:b/>
          <w:bCs/>
          <w:sz w:val="22"/>
          <w:szCs w:val="22"/>
        </w:rPr>
        <w:t xml:space="preserve">Formulář vyúčtování neinvestičního grantu </w:t>
      </w:r>
      <w:r w:rsidR="009E1EBC" w:rsidRPr="006010E6">
        <w:rPr>
          <w:b/>
          <w:bCs/>
          <w:sz w:val="22"/>
          <w:szCs w:val="22"/>
        </w:rPr>
        <w:t>obsahuje</w:t>
      </w:r>
      <w:r w:rsidRPr="006010E6">
        <w:rPr>
          <w:b/>
          <w:bCs/>
          <w:sz w:val="22"/>
          <w:szCs w:val="22"/>
        </w:rPr>
        <w:t>:</w:t>
      </w:r>
    </w:p>
    <w:p w14:paraId="6C2F6619" w14:textId="77777777" w:rsidR="0062661F" w:rsidRPr="006010E6" w:rsidRDefault="00847D2D" w:rsidP="00847D2D">
      <w:pPr>
        <w:spacing w:before="120"/>
        <w:jc w:val="both"/>
        <w:rPr>
          <w:sz w:val="22"/>
          <w:szCs w:val="22"/>
          <w:u w:val="single"/>
        </w:rPr>
      </w:pPr>
      <w:r w:rsidRPr="006010E6">
        <w:rPr>
          <w:sz w:val="22"/>
          <w:szCs w:val="22"/>
          <w:u w:val="single"/>
        </w:rPr>
        <w:t xml:space="preserve">I. </w:t>
      </w:r>
      <w:r w:rsidR="0062661F" w:rsidRPr="006010E6">
        <w:rPr>
          <w:sz w:val="22"/>
          <w:szCs w:val="22"/>
          <w:u w:val="single"/>
        </w:rPr>
        <w:t>část</w:t>
      </w:r>
      <w:r w:rsidR="00621F70" w:rsidRPr="006010E6">
        <w:rPr>
          <w:sz w:val="22"/>
          <w:szCs w:val="22"/>
          <w:u w:val="single"/>
        </w:rPr>
        <w:t xml:space="preserve"> – </w:t>
      </w:r>
      <w:r w:rsidR="0062661F" w:rsidRPr="006010E6">
        <w:rPr>
          <w:sz w:val="22"/>
          <w:szCs w:val="22"/>
          <w:u w:val="single"/>
        </w:rPr>
        <w:t>potvrzení správnosti a pravdivosti údajů za organizaci</w:t>
      </w:r>
    </w:p>
    <w:p w14:paraId="716CC809" w14:textId="77777777" w:rsidR="00712373" w:rsidRPr="006010E6" w:rsidRDefault="0062661F" w:rsidP="00712373">
      <w:pPr>
        <w:spacing w:before="120"/>
        <w:jc w:val="both"/>
        <w:rPr>
          <w:sz w:val="22"/>
          <w:szCs w:val="22"/>
          <w:u w:val="single"/>
        </w:rPr>
      </w:pPr>
      <w:r w:rsidRPr="006010E6">
        <w:rPr>
          <w:sz w:val="22"/>
          <w:szCs w:val="22"/>
          <w:u w:val="single"/>
        </w:rPr>
        <w:t>II.</w:t>
      </w:r>
      <w:r w:rsidR="00847D2D" w:rsidRPr="006010E6">
        <w:rPr>
          <w:sz w:val="22"/>
          <w:szCs w:val="22"/>
          <w:u w:val="single"/>
        </w:rPr>
        <w:t xml:space="preserve"> </w:t>
      </w:r>
      <w:r w:rsidRPr="006010E6">
        <w:rPr>
          <w:sz w:val="22"/>
          <w:szCs w:val="22"/>
          <w:u w:val="single"/>
        </w:rPr>
        <w:t>část</w:t>
      </w:r>
      <w:r w:rsidR="00621F70" w:rsidRPr="006010E6">
        <w:rPr>
          <w:sz w:val="22"/>
          <w:szCs w:val="22"/>
          <w:u w:val="single"/>
        </w:rPr>
        <w:t xml:space="preserve"> </w:t>
      </w:r>
      <w:r w:rsidR="00712373" w:rsidRPr="006010E6">
        <w:rPr>
          <w:sz w:val="22"/>
          <w:szCs w:val="22"/>
          <w:u w:val="single"/>
        </w:rPr>
        <w:t>– informace o službě/projekt</w:t>
      </w:r>
    </w:p>
    <w:p w14:paraId="75430451" w14:textId="77777777" w:rsidR="0062661F" w:rsidRPr="006010E6" w:rsidRDefault="007E3FE5" w:rsidP="00712373">
      <w:pPr>
        <w:spacing w:before="120"/>
        <w:jc w:val="both"/>
        <w:rPr>
          <w:sz w:val="22"/>
          <w:szCs w:val="22"/>
          <w:u w:val="single"/>
        </w:rPr>
      </w:pPr>
      <w:r w:rsidRPr="006010E6">
        <w:rPr>
          <w:sz w:val="22"/>
          <w:szCs w:val="22"/>
        </w:rPr>
        <w:t xml:space="preserve">           </w:t>
      </w:r>
      <w:r w:rsidR="0062661F" w:rsidRPr="006010E6">
        <w:rPr>
          <w:sz w:val="22"/>
          <w:szCs w:val="22"/>
        </w:rPr>
        <w:t>A) zp</w:t>
      </w:r>
      <w:r w:rsidR="00570868" w:rsidRPr="006010E6">
        <w:rPr>
          <w:sz w:val="22"/>
          <w:szCs w:val="22"/>
        </w:rPr>
        <w:t>ráva o realizaci služby</w:t>
      </w:r>
    </w:p>
    <w:p w14:paraId="27098BCB" w14:textId="77777777" w:rsidR="0062661F" w:rsidRPr="006010E6" w:rsidRDefault="00C47169" w:rsidP="00C47169">
      <w:pPr>
        <w:spacing w:before="120"/>
        <w:jc w:val="both"/>
        <w:rPr>
          <w:sz w:val="22"/>
          <w:szCs w:val="22"/>
        </w:rPr>
      </w:pPr>
      <w:r w:rsidRPr="006010E6">
        <w:rPr>
          <w:sz w:val="22"/>
          <w:szCs w:val="22"/>
        </w:rPr>
        <w:t xml:space="preserve">           </w:t>
      </w:r>
      <w:r w:rsidR="00621F70" w:rsidRPr="006010E6">
        <w:rPr>
          <w:sz w:val="22"/>
          <w:szCs w:val="22"/>
        </w:rPr>
        <w:t xml:space="preserve">B) finanční zpráva </w:t>
      </w:r>
    </w:p>
    <w:p w14:paraId="3444A1AB" w14:textId="77777777" w:rsidR="0062661F" w:rsidRPr="006010E6" w:rsidRDefault="00C47169" w:rsidP="00C47169">
      <w:pPr>
        <w:spacing w:before="120"/>
        <w:jc w:val="both"/>
        <w:rPr>
          <w:sz w:val="22"/>
          <w:szCs w:val="22"/>
        </w:rPr>
      </w:pPr>
      <w:r w:rsidRPr="006010E6">
        <w:rPr>
          <w:sz w:val="22"/>
          <w:szCs w:val="22"/>
        </w:rPr>
        <w:t xml:space="preserve">           </w:t>
      </w:r>
      <w:r w:rsidR="0062661F" w:rsidRPr="006010E6">
        <w:rPr>
          <w:sz w:val="22"/>
          <w:szCs w:val="22"/>
        </w:rPr>
        <w:t>C) přehled účetních dokladů</w:t>
      </w:r>
    </w:p>
    <w:p w14:paraId="47FAFC6E" w14:textId="77777777" w:rsidR="006010E6" w:rsidRPr="006010E6" w:rsidRDefault="006010E6" w:rsidP="00C47169">
      <w:pPr>
        <w:spacing w:before="120"/>
        <w:jc w:val="both"/>
        <w:rPr>
          <w:sz w:val="22"/>
          <w:szCs w:val="22"/>
        </w:rPr>
      </w:pPr>
      <w:r w:rsidRPr="006010E6">
        <w:rPr>
          <w:sz w:val="22"/>
          <w:szCs w:val="22"/>
        </w:rPr>
        <w:t xml:space="preserve">           D) Čestné prohlášení</w:t>
      </w:r>
    </w:p>
    <w:sectPr w:rsidR="006010E6" w:rsidRPr="006010E6">
      <w:footerReference w:type="even" r:id="rId11"/>
      <w:footerReference w:type="default" r:id="rId12"/>
      <w:type w:val="nextColumn"/>
      <w:pgSz w:w="11906" w:h="16838" w:code="9"/>
      <w:pgMar w:top="1418" w:right="73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AB7F" w14:textId="77777777" w:rsidR="00B65125" w:rsidRDefault="00B65125">
      <w:r>
        <w:separator/>
      </w:r>
    </w:p>
  </w:endnote>
  <w:endnote w:type="continuationSeparator" w:id="0">
    <w:p w14:paraId="24182038" w14:textId="77777777" w:rsidR="00B65125" w:rsidRDefault="00B6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C88C" w14:textId="77777777" w:rsidR="0062661F" w:rsidRDefault="006266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F5804B" w14:textId="77777777" w:rsidR="0062661F" w:rsidRDefault="006266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7752" w14:textId="6A5F9145" w:rsidR="0062661F" w:rsidRDefault="00E42BE1">
    <w:pPr>
      <w:pStyle w:val="Zhlav"/>
      <w:rPr>
        <w:sz w:val="16"/>
        <w:szCs w:val="16"/>
      </w:rPr>
    </w:pPr>
    <w:r>
      <w:rPr>
        <w:sz w:val="16"/>
        <w:szCs w:val="16"/>
      </w:rPr>
      <w:t>SOV</w:t>
    </w:r>
    <w:r w:rsidR="0062661F">
      <w:rPr>
        <w:sz w:val="16"/>
        <w:szCs w:val="16"/>
      </w:rPr>
      <w:t xml:space="preserve"> MHMP </w:t>
    </w:r>
    <w:r w:rsidR="00F86FF0">
      <w:rPr>
        <w:sz w:val="16"/>
        <w:szCs w:val="16"/>
      </w:rPr>
      <w:t>202</w:t>
    </w:r>
    <w:r w:rsidR="00B9036F">
      <w:rPr>
        <w:sz w:val="16"/>
        <w:szCs w:val="16"/>
      </w:rPr>
      <w:t>5</w:t>
    </w:r>
    <w:r w:rsidR="00847D2D">
      <w:rPr>
        <w:sz w:val="16"/>
        <w:szCs w:val="16"/>
      </w:rPr>
      <w:tab/>
    </w:r>
    <w:r w:rsidR="00847D2D">
      <w:rPr>
        <w:sz w:val="16"/>
        <w:szCs w:val="16"/>
      </w:rPr>
      <w:tab/>
    </w:r>
    <w:r w:rsidR="00847D2D">
      <w:rPr>
        <w:sz w:val="16"/>
        <w:szCs w:val="16"/>
      </w:rPr>
      <w:tab/>
    </w:r>
  </w:p>
  <w:p w14:paraId="69424C91" w14:textId="77777777" w:rsidR="0062661F" w:rsidRDefault="006266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075C" w14:textId="77777777" w:rsidR="00B65125" w:rsidRDefault="00B65125">
      <w:r>
        <w:separator/>
      </w:r>
    </w:p>
  </w:footnote>
  <w:footnote w:type="continuationSeparator" w:id="0">
    <w:p w14:paraId="0D6B1BD8" w14:textId="77777777" w:rsidR="00B65125" w:rsidRDefault="00B65125">
      <w:r>
        <w:continuationSeparator/>
      </w:r>
    </w:p>
  </w:footnote>
  <w:footnote w:id="1">
    <w:p w14:paraId="2E425BE1" w14:textId="77777777" w:rsidR="00AE476B" w:rsidRPr="005F5765" w:rsidRDefault="00AE476B" w:rsidP="005F576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D4670"/>
    <w:multiLevelType w:val="hybridMultilevel"/>
    <w:tmpl w:val="13FA9C90"/>
    <w:lvl w:ilvl="0" w:tplc="56AC7AF6">
      <w:start w:val="1"/>
      <w:numFmt w:val="upperLetter"/>
      <w:pStyle w:val="Nadpis6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DECE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719C3"/>
    <w:multiLevelType w:val="hybridMultilevel"/>
    <w:tmpl w:val="8BAE3304"/>
    <w:lvl w:ilvl="0" w:tplc="74D22B9A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AFEA0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744010">
    <w:abstractNumId w:val="1"/>
  </w:num>
  <w:num w:numId="2" w16cid:durableId="15231257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33"/>
    <w:rsid w:val="00006352"/>
    <w:rsid w:val="000100D4"/>
    <w:rsid w:val="00011AC6"/>
    <w:rsid w:val="00047EB0"/>
    <w:rsid w:val="0005344D"/>
    <w:rsid w:val="0008515C"/>
    <w:rsid w:val="00087157"/>
    <w:rsid w:val="000969A6"/>
    <w:rsid w:val="000A26A6"/>
    <w:rsid w:val="000E1A64"/>
    <w:rsid w:val="000F141B"/>
    <w:rsid w:val="000F4C52"/>
    <w:rsid w:val="000F517F"/>
    <w:rsid w:val="001160CC"/>
    <w:rsid w:val="00127228"/>
    <w:rsid w:val="001349F5"/>
    <w:rsid w:val="00140C6F"/>
    <w:rsid w:val="0018648D"/>
    <w:rsid w:val="001920E6"/>
    <w:rsid w:val="001A7B4E"/>
    <w:rsid w:val="001B3A21"/>
    <w:rsid w:val="001C17D3"/>
    <w:rsid w:val="001C4E4D"/>
    <w:rsid w:val="001D67CF"/>
    <w:rsid w:val="002162D7"/>
    <w:rsid w:val="00216D5D"/>
    <w:rsid w:val="00226F5F"/>
    <w:rsid w:val="00227E2E"/>
    <w:rsid w:val="00237BE3"/>
    <w:rsid w:val="002436FE"/>
    <w:rsid w:val="00275ECD"/>
    <w:rsid w:val="00281513"/>
    <w:rsid w:val="002A0041"/>
    <w:rsid w:val="002C4E94"/>
    <w:rsid w:val="002D5914"/>
    <w:rsid w:val="002D7CB4"/>
    <w:rsid w:val="002F578D"/>
    <w:rsid w:val="003260F6"/>
    <w:rsid w:val="00330EC7"/>
    <w:rsid w:val="00334426"/>
    <w:rsid w:val="0034776D"/>
    <w:rsid w:val="00373930"/>
    <w:rsid w:val="003820BE"/>
    <w:rsid w:val="003916BF"/>
    <w:rsid w:val="00395F2F"/>
    <w:rsid w:val="003A0BD8"/>
    <w:rsid w:val="003A279B"/>
    <w:rsid w:val="003A77BE"/>
    <w:rsid w:val="003D75B8"/>
    <w:rsid w:val="003E57DD"/>
    <w:rsid w:val="00405815"/>
    <w:rsid w:val="0040793A"/>
    <w:rsid w:val="00426262"/>
    <w:rsid w:val="004512B5"/>
    <w:rsid w:val="004558F0"/>
    <w:rsid w:val="0049316D"/>
    <w:rsid w:val="004A2BD5"/>
    <w:rsid w:val="004B0989"/>
    <w:rsid w:val="004C7CB8"/>
    <w:rsid w:val="004F31E5"/>
    <w:rsid w:val="00507479"/>
    <w:rsid w:val="00525338"/>
    <w:rsid w:val="005335E7"/>
    <w:rsid w:val="00536368"/>
    <w:rsid w:val="00570868"/>
    <w:rsid w:val="005A4678"/>
    <w:rsid w:val="005F03AC"/>
    <w:rsid w:val="005F5765"/>
    <w:rsid w:val="006010E6"/>
    <w:rsid w:val="00610537"/>
    <w:rsid w:val="006108EC"/>
    <w:rsid w:val="006209C0"/>
    <w:rsid w:val="00621F70"/>
    <w:rsid w:val="006220C4"/>
    <w:rsid w:val="006252E0"/>
    <w:rsid w:val="0062661F"/>
    <w:rsid w:val="00636401"/>
    <w:rsid w:val="00644B08"/>
    <w:rsid w:val="00652421"/>
    <w:rsid w:val="0069755A"/>
    <w:rsid w:val="006B6B9C"/>
    <w:rsid w:val="006C36C1"/>
    <w:rsid w:val="006F4432"/>
    <w:rsid w:val="00703DE7"/>
    <w:rsid w:val="00705876"/>
    <w:rsid w:val="00712373"/>
    <w:rsid w:val="00753BBA"/>
    <w:rsid w:val="007667BF"/>
    <w:rsid w:val="00775A01"/>
    <w:rsid w:val="007812F1"/>
    <w:rsid w:val="007A4233"/>
    <w:rsid w:val="007B1815"/>
    <w:rsid w:val="007C1D94"/>
    <w:rsid w:val="007C6CF8"/>
    <w:rsid w:val="007C79CA"/>
    <w:rsid w:val="007D15F8"/>
    <w:rsid w:val="007E3FE5"/>
    <w:rsid w:val="007F5436"/>
    <w:rsid w:val="00810CC0"/>
    <w:rsid w:val="008332FB"/>
    <w:rsid w:val="00844393"/>
    <w:rsid w:val="00847D2D"/>
    <w:rsid w:val="008503E1"/>
    <w:rsid w:val="00857FAD"/>
    <w:rsid w:val="00881483"/>
    <w:rsid w:val="00881BCF"/>
    <w:rsid w:val="00885352"/>
    <w:rsid w:val="00892B1E"/>
    <w:rsid w:val="008A5504"/>
    <w:rsid w:val="008B1AA3"/>
    <w:rsid w:val="008B7247"/>
    <w:rsid w:val="008C7DD7"/>
    <w:rsid w:val="008E1A5F"/>
    <w:rsid w:val="00903223"/>
    <w:rsid w:val="00907C14"/>
    <w:rsid w:val="009113A1"/>
    <w:rsid w:val="00923D95"/>
    <w:rsid w:val="00933A74"/>
    <w:rsid w:val="009727FB"/>
    <w:rsid w:val="009906FC"/>
    <w:rsid w:val="00996805"/>
    <w:rsid w:val="009B573D"/>
    <w:rsid w:val="009E1EBC"/>
    <w:rsid w:val="009F1BD3"/>
    <w:rsid w:val="00A224FB"/>
    <w:rsid w:val="00A43DA7"/>
    <w:rsid w:val="00A626B4"/>
    <w:rsid w:val="00A7017B"/>
    <w:rsid w:val="00A91B36"/>
    <w:rsid w:val="00A97FD5"/>
    <w:rsid w:val="00AE07CA"/>
    <w:rsid w:val="00AE3996"/>
    <w:rsid w:val="00AE476B"/>
    <w:rsid w:val="00AE736E"/>
    <w:rsid w:val="00AF5454"/>
    <w:rsid w:val="00B144AD"/>
    <w:rsid w:val="00B30C2A"/>
    <w:rsid w:val="00B37F6D"/>
    <w:rsid w:val="00B65125"/>
    <w:rsid w:val="00B74E33"/>
    <w:rsid w:val="00B9036F"/>
    <w:rsid w:val="00B9255B"/>
    <w:rsid w:val="00BE263C"/>
    <w:rsid w:val="00C129A8"/>
    <w:rsid w:val="00C328BC"/>
    <w:rsid w:val="00C47169"/>
    <w:rsid w:val="00C74963"/>
    <w:rsid w:val="00C865AD"/>
    <w:rsid w:val="00C92EF9"/>
    <w:rsid w:val="00CB6579"/>
    <w:rsid w:val="00CC1D89"/>
    <w:rsid w:val="00CE7BE3"/>
    <w:rsid w:val="00D019CC"/>
    <w:rsid w:val="00D05FC7"/>
    <w:rsid w:val="00D06F7F"/>
    <w:rsid w:val="00D11035"/>
    <w:rsid w:val="00D241ED"/>
    <w:rsid w:val="00D2518E"/>
    <w:rsid w:val="00D27360"/>
    <w:rsid w:val="00D558B1"/>
    <w:rsid w:val="00D5712D"/>
    <w:rsid w:val="00D64412"/>
    <w:rsid w:val="00D669CE"/>
    <w:rsid w:val="00D66DFD"/>
    <w:rsid w:val="00D80B19"/>
    <w:rsid w:val="00D9117B"/>
    <w:rsid w:val="00DB3BFA"/>
    <w:rsid w:val="00DC7841"/>
    <w:rsid w:val="00DC78F3"/>
    <w:rsid w:val="00DD0EE8"/>
    <w:rsid w:val="00DF4534"/>
    <w:rsid w:val="00E01FCB"/>
    <w:rsid w:val="00E1605B"/>
    <w:rsid w:val="00E2425F"/>
    <w:rsid w:val="00E336C3"/>
    <w:rsid w:val="00E42BE1"/>
    <w:rsid w:val="00E45B78"/>
    <w:rsid w:val="00E47D78"/>
    <w:rsid w:val="00E62E0E"/>
    <w:rsid w:val="00E87A64"/>
    <w:rsid w:val="00EA12AD"/>
    <w:rsid w:val="00EB101D"/>
    <w:rsid w:val="00EF74FC"/>
    <w:rsid w:val="00F01D56"/>
    <w:rsid w:val="00F45217"/>
    <w:rsid w:val="00F55433"/>
    <w:rsid w:val="00F62582"/>
    <w:rsid w:val="00F82283"/>
    <w:rsid w:val="00F8246C"/>
    <w:rsid w:val="00F86FF0"/>
    <w:rsid w:val="00F97CA1"/>
    <w:rsid w:val="00FA7F40"/>
    <w:rsid w:val="00FB1604"/>
    <w:rsid w:val="00FB7965"/>
    <w:rsid w:val="00FD179A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3086C"/>
  <w15:chartTrackingRefBased/>
  <w15:docId w15:val="{22E5D918-06CC-4D53-870B-E8D6ECFD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numPr>
        <w:numId w:val="2"/>
      </w:numPr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outlineLvl w:val="7"/>
    </w:pPr>
    <w:rPr>
      <w:b/>
      <w:bCs/>
      <w:u w:val="single"/>
    </w:rPr>
  </w:style>
  <w:style w:type="paragraph" w:styleId="Nadpis9">
    <w:name w:val="heading 9"/>
    <w:basedOn w:val="Normln"/>
    <w:next w:val="Normln"/>
    <w:qFormat/>
    <w:pPr>
      <w:keepNext/>
      <w:ind w:left="1077"/>
      <w:outlineLvl w:val="8"/>
    </w:pPr>
    <w:rPr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Zkladntextodsazen">
    <w:name w:val="Body Text Indent"/>
    <w:basedOn w:val="Normln"/>
    <w:semiHidden/>
    <w:pPr>
      <w:ind w:firstLine="708"/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semiHidden/>
    <w:pPr>
      <w:jc w:val="center"/>
    </w:pPr>
    <w:rPr>
      <w:b/>
      <w:bCs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slostrnky">
    <w:name w:val="page number"/>
    <w:basedOn w:val="Standardnpsmoodstavce"/>
    <w:semiHidden/>
  </w:style>
  <w:style w:type="paragraph" w:styleId="Textvysvtlivek">
    <w:name w:val="endnote text"/>
    <w:basedOn w:val="Normln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4558F0"/>
  </w:style>
  <w:style w:type="character" w:styleId="Odkaznakoment">
    <w:name w:val="annotation reference"/>
    <w:uiPriority w:val="99"/>
    <w:semiHidden/>
    <w:unhideWhenUsed/>
    <w:rsid w:val="00227E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7E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7E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7E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7E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E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7E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82283"/>
    <w:rPr>
      <w:sz w:val="24"/>
      <w:szCs w:val="24"/>
    </w:rPr>
  </w:style>
  <w:style w:type="paragraph" w:styleId="Bezmezer">
    <w:name w:val="No Spacing"/>
    <w:uiPriority w:val="1"/>
    <w:qFormat/>
    <w:rsid w:val="003A279B"/>
    <w:rPr>
      <w:sz w:val="24"/>
      <w:szCs w:val="24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3A279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itulChar">
    <w:name w:val="Podtitul Char"/>
    <w:link w:val="Podtitul"/>
    <w:uiPriority w:val="11"/>
    <w:rsid w:val="003A279B"/>
    <w:rPr>
      <w:rFonts w:ascii="Calibri Light" w:eastAsia="Times New Roman" w:hAnsi="Calibri Light" w:cs="Times New Roman"/>
      <w:sz w:val="24"/>
      <w:szCs w:val="24"/>
    </w:rPr>
  </w:style>
  <w:style w:type="character" w:styleId="Hypertextovodkaz">
    <w:name w:val="Hyperlink"/>
    <w:uiPriority w:val="99"/>
    <w:unhideWhenUsed/>
    <w:rsid w:val="007F5436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7F5436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granty.praha.eu/GrantyPortal/defau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5627CCB9D32429E74739E7962ABB9" ma:contentTypeVersion="6" ma:contentTypeDescription="Create a new document." ma:contentTypeScope="" ma:versionID="b60f481674a64abaa4351e3019258af3">
  <xsd:schema xmlns:xsd="http://www.w3.org/2001/XMLSchema" xmlns:xs="http://www.w3.org/2001/XMLSchema" xmlns:p="http://schemas.microsoft.com/office/2006/metadata/properties" xmlns:ns3="e701aecd-306b-4062-be63-dcf30bf0d321" targetNamespace="http://schemas.microsoft.com/office/2006/metadata/properties" ma:root="true" ma:fieldsID="2ae266d099513f95247a1b5b64b964cc" ns3:_="">
    <xsd:import namespace="e701aecd-306b-4062-be63-dcf30bf0d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1aecd-306b-4062-be63-dcf30bf0d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01aecd-306b-4062-be63-dcf30bf0d321" xsi:nil="true"/>
  </documentManagement>
</p:properties>
</file>

<file path=customXml/itemProps1.xml><?xml version="1.0" encoding="utf-8"?>
<ds:datastoreItem xmlns:ds="http://schemas.openxmlformats.org/officeDocument/2006/customXml" ds:itemID="{9CFD502F-DCB0-49A7-913B-766235DD0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1aecd-306b-4062-be63-dcf30bf0d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81047-BD9B-489F-BEA1-700730DAF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0A6D3-97EB-4833-82C1-3D15C6C7C3F2}">
  <ds:schemaRefs>
    <ds:schemaRef ds:uri="http://schemas.microsoft.com/office/2006/metadata/properties"/>
    <ds:schemaRef ds:uri="http://schemas.microsoft.com/office/infopath/2007/PartnerControls"/>
    <ds:schemaRef ds:uri="e701aecd-306b-4062-be63-dcf30bf0d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o realizaci projektu na rok 2005</vt:lpstr>
    </vt:vector>
  </TitlesOfParts>
  <Company>MHMP</Company>
  <LinksUpToDate>false</LinksUpToDate>
  <CharactersWithSpaces>2633</CharactersWithSpaces>
  <SharedDoc>false</SharedDoc>
  <HLinks>
    <vt:vector size="6" baseType="variant">
      <vt:variant>
        <vt:i4>6225931</vt:i4>
      </vt:variant>
      <vt:variant>
        <vt:i4>0</vt:i4>
      </vt:variant>
      <vt:variant>
        <vt:i4>0</vt:i4>
      </vt:variant>
      <vt:variant>
        <vt:i4>5</vt:i4>
      </vt:variant>
      <vt:variant>
        <vt:lpwstr>https://granty.praha.eu/GrantyPortal/default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o realizaci projektu na rok 2005</dc:title>
  <dc:subject/>
  <dc:creator>Powermate</dc:creator>
  <cp:keywords/>
  <cp:lastModifiedBy>Skopová Radka (MHMP, SOV)</cp:lastModifiedBy>
  <cp:revision>7</cp:revision>
  <cp:lastPrinted>2025-11-19T16:19:00Z</cp:lastPrinted>
  <dcterms:created xsi:type="dcterms:W3CDTF">2025-11-19T16:19:00Z</dcterms:created>
  <dcterms:modified xsi:type="dcterms:W3CDTF">2025-11-21T12:18:00Z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0x010100F8C5627CCB9D32429E74739E7962ABB9</vt:lpwstr>
  </property>
</Properties>
</file>