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0EB918D6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/ NAVÝŠENÍ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3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4A9BCF40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46319C09" w:rsidR="0094384A" w:rsidRPr="006428F5" w:rsidRDefault="006E3F97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Podpora v bydlení rodin s dětmi v bytové nouzi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55C4416C" w14:textId="77777777" w:rsidTr="00B010A2">
        <w:trPr>
          <w:trHeight w:val="271"/>
        </w:trPr>
        <w:tc>
          <w:tcPr>
            <w:tcW w:w="9209" w:type="dxa"/>
            <w:gridSpan w:val="6"/>
            <w:vAlign w:val="center"/>
          </w:tcPr>
          <w:p w14:paraId="5A2E2FDF" w14:textId="667BB1C4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v bydlení v bytech Městské nájemní agentury, městských ubytovnách, hotelech/hostelech</w:t>
            </w:r>
          </w:p>
        </w:tc>
        <w:tc>
          <w:tcPr>
            <w:tcW w:w="1701" w:type="dxa"/>
            <w:vAlign w:val="center"/>
          </w:tcPr>
          <w:p w14:paraId="38EF776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6D5EC06" w14:textId="77777777" w:rsidTr="001807D8">
        <w:trPr>
          <w:trHeight w:val="277"/>
        </w:trPr>
        <w:tc>
          <w:tcPr>
            <w:tcW w:w="9209" w:type="dxa"/>
            <w:gridSpan w:val="6"/>
            <w:vAlign w:val="center"/>
          </w:tcPr>
          <w:p w14:paraId="650E9D01" w14:textId="72F8093C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občanů s PAS s intenzivní podporou v bytech</w:t>
            </w:r>
          </w:p>
        </w:tc>
        <w:tc>
          <w:tcPr>
            <w:tcW w:w="1701" w:type="dxa"/>
            <w:vAlign w:val="center"/>
          </w:tcPr>
          <w:p w14:paraId="7CAA283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9760911" w14:textId="77777777" w:rsidTr="001807D8">
        <w:trPr>
          <w:trHeight w:val="523"/>
        </w:trPr>
        <w:tc>
          <w:tcPr>
            <w:tcW w:w="9209" w:type="dxa"/>
            <w:gridSpan w:val="6"/>
            <w:vAlign w:val="center"/>
          </w:tcPr>
          <w:p w14:paraId="77CC696F" w14:textId="3E27745E" w:rsidR="0094384A" w:rsidRPr="006428F5" w:rsidRDefault="00090E5F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Transformace péče o Pražany, kteří potřebují intenzivní podporu a jsou, nebo by byli, umístěni do mimopražských zařízení</w:t>
            </w:r>
          </w:p>
        </w:tc>
        <w:tc>
          <w:tcPr>
            <w:tcW w:w="1701" w:type="dxa"/>
            <w:vAlign w:val="center"/>
          </w:tcPr>
          <w:p w14:paraId="77F5BD8F" w14:textId="77777777" w:rsidR="0094384A" w:rsidRPr="006428F5" w:rsidRDefault="0094384A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94384A" w:rsidRPr="0094384A" w14:paraId="52F2AB22" w14:textId="77777777" w:rsidTr="001807D8">
        <w:trPr>
          <w:trHeight w:val="602"/>
        </w:trPr>
        <w:tc>
          <w:tcPr>
            <w:tcW w:w="9209" w:type="dxa"/>
            <w:gridSpan w:val="6"/>
            <w:vAlign w:val="center"/>
          </w:tcPr>
          <w:p w14:paraId="30469D3B" w14:textId="2633FC94" w:rsidR="0094384A" w:rsidRPr="0094384A" w:rsidRDefault="006E3F97" w:rsidP="001807D8">
            <w:pPr>
              <w:jc w:val="both"/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  <w:r w:rsidRPr="006E3F97">
              <w:rPr>
                <w:rFonts w:asciiTheme="minorHAnsi" w:hAnsiTheme="minorHAnsi"/>
                <w:sz w:val="20"/>
                <w:szCs w:val="20"/>
              </w:rPr>
              <w:t xml:space="preserve">Zajištění kapacit v návaznosti na schválený materiál Optimální síť </w:t>
            </w:r>
            <w:proofErr w:type="spellStart"/>
            <w:r w:rsidRPr="006E3F97">
              <w:rPr>
                <w:rFonts w:asciiTheme="minorHAnsi" w:hAnsiTheme="minorHAnsi"/>
                <w:sz w:val="20"/>
                <w:szCs w:val="20"/>
              </w:rPr>
              <w:t>adiktologických</w:t>
            </w:r>
            <w:proofErr w:type="spellEnd"/>
            <w:r w:rsidRPr="006E3F97">
              <w:rPr>
                <w:rFonts w:asciiTheme="minorHAnsi" w:hAnsiTheme="minorHAnsi"/>
                <w:sz w:val="20"/>
                <w:szCs w:val="20"/>
              </w:rPr>
              <w:t xml:space="preserve"> služeb v Praze usnesením Zastupitelstva č. 38/126 ze dne 16. 6. 2022</w:t>
            </w:r>
          </w:p>
        </w:tc>
        <w:tc>
          <w:tcPr>
            <w:tcW w:w="1701" w:type="dxa"/>
            <w:vAlign w:val="center"/>
          </w:tcPr>
          <w:p w14:paraId="200AA1EC" w14:textId="77777777" w:rsidR="0094384A" w:rsidRPr="0094384A" w:rsidRDefault="0094384A" w:rsidP="001807D8">
            <w:pPr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</w:p>
        </w:tc>
      </w:tr>
      <w:tr w:rsidR="008F2DE6" w:rsidRPr="0094384A" w14:paraId="6FEBAF98" w14:textId="77777777" w:rsidTr="008F2DE6">
        <w:tc>
          <w:tcPr>
            <w:tcW w:w="9209" w:type="dxa"/>
            <w:gridSpan w:val="6"/>
            <w:vAlign w:val="center"/>
          </w:tcPr>
          <w:p w14:paraId="70BCDB7A" w14:textId="6CEC5163" w:rsidR="008F2DE6" w:rsidRPr="006E3F97" w:rsidRDefault="008F2DE6" w:rsidP="001807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2DE6">
              <w:rPr>
                <w:rFonts w:asciiTheme="minorHAnsi" w:hAnsiTheme="minorHAnsi"/>
                <w:sz w:val="20"/>
                <w:szCs w:val="20"/>
              </w:rPr>
              <w:t>Podpora služeb nízkoprahového denního centra pro specifické cílové skupiny v návaznosti na priority HMP</w:t>
            </w:r>
          </w:p>
        </w:tc>
        <w:tc>
          <w:tcPr>
            <w:tcW w:w="1701" w:type="dxa"/>
            <w:vAlign w:val="center"/>
          </w:tcPr>
          <w:p w14:paraId="183CCF5C" w14:textId="77777777" w:rsidR="008F2DE6" w:rsidRPr="0094384A" w:rsidRDefault="008F2DE6" w:rsidP="001807D8">
            <w:pPr>
              <w:rPr>
                <w:rFonts w:asciiTheme="minorHAnsi" w:hAnsiTheme="minorHAnsi"/>
                <w:color w:val="FFFFFF" w:themeColor="background1"/>
                <w:sz w:val="21"/>
                <w:szCs w:val="21"/>
              </w:rPr>
            </w:pPr>
          </w:p>
        </w:tc>
      </w:tr>
      <w:tr w:rsidR="0094384A" w:rsidRPr="0094384A" w14:paraId="76F3DE8E" w14:textId="77777777" w:rsidTr="008F2DE6">
        <w:trPr>
          <w:cantSplit/>
          <w:trHeight w:val="8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A57310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59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7</cp:revision>
  <cp:lastPrinted>2022-03-08T08:19:00Z</cp:lastPrinted>
  <dcterms:created xsi:type="dcterms:W3CDTF">2022-08-04T10:34:00Z</dcterms:created>
  <dcterms:modified xsi:type="dcterms:W3CDTF">2022-08-17T11:20:00Z</dcterms:modified>
</cp:coreProperties>
</file>